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886273" w14:textId="5D73E9B7" w:rsidR="00934A35" w:rsidRDefault="004B0B9A" w:rsidP="00D462AA">
      <w:pPr>
        <w:pStyle w:val="Title"/>
      </w:pPr>
      <w:r>
        <w:t>Negative</w:t>
      </w:r>
      <w:r w:rsidR="00EE1E8E">
        <w:t xml:space="preserve">: </w:t>
      </w:r>
      <w:r w:rsidR="001E34BC">
        <w:t>Fossil Fuel Subsidies – not a problem</w:t>
      </w:r>
    </w:p>
    <w:p w14:paraId="16A637BD" w14:textId="0130D29E" w:rsidR="00AF2404" w:rsidRDefault="00D462AA" w:rsidP="00AF2404">
      <w:pPr>
        <w:jc w:val="center"/>
      </w:pPr>
      <w:r>
        <w:t xml:space="preserve">By </w:t>
      </w:r>
      <w:r w:rsidR="004B0B9A">
        <w:t>“Coach Vance” Trefethen</w:t>
      </w:r>
    </w:p>
    <w:p w14:paraId="7774EA56" w14:textId="724326C0" w:rsidR="003276F1" w:rsidRDefault="003276F1" w:rsidP="003276F1">
      <w:pPr>
        <w:shd w:val="clear" w:color="auto" w:fill="FFFFFF"/>
        <w:spacing w:after="0" w:line="240" w:lineRule="auto"/>
        <w:jc w:val="center"/>
        <w:rPr>
          <w:rStyle w:val="Emphasis"/>
          <w:b/>
        </w:rPr>
      </w:pPr>
      <w:r w:rsidRPr="003276F1">
        <w:rPr>
          <w:rStyle w:val="Emphasis"/>
          <w:b/>
        </w:rPr>
        <w:t xml:space="preserve">Resolved: </w:t>
      </w:r>
      <w:r w:rsidR="008B5DB7" w:rsidRPr="008B5DB7">
        <w:rPr>
          <w:rStyle w:val="Emphasis"/>
          <w:b/>
        </w:rPr>
        <w:t>The United States Federal Government should s</w:t>
      </w:r>
      <w:r w:rsidR="008C6A37">
        <w:rPr>
          <w:rStyle w:val="Emphasis"/>
          <w:b/>
        </w:rPr>
        <w:t>ignificantl</w:t>
      </w:r>
      <w:r w:rsidR="008B5DB7" w:rsidRPr="008B5DB7">
        <w:rPr>
          <w:rStyle w:val="Emphasis"/>
          <w:b/>
        </w:rPr>
        <w:t xml:space="preserve">y reform its </w:t>
      </w:r>
      <w:r w:rsidR="008C6A37">
        <w:rPr>
          <w:rStyle w:val="Emphasis"/>
          <w:b/>
        </w:rPr>
        <w:t xml:space="preserve">energy </w:t>
      </w:r>
      <w:r w:rsidR="008B5DB7" w:rsidRPr="008B5DB7">
        <w:rPr>
          <w:rStyle w:val="Emphasis"/>
          <w:b/>
        </w:rPr>
        <w:t>policy.</w:t>
      </w:r>
    </w:p>
    <w:p w14:paraId="0844A480" w14:textId="77777777" w:rsidR="003276F1" w:rsidRPr="003276F1" w:rsidRDefault="003276F1" w:rsidP="003276F1">
      <w:pPr>
        <w:shd w:val="clear" w:color="auto" w:fill="FFFFFF"/>
        <w:spacing w:after="0" w:line="240" w:lineRule="auto"/>
        <w:jc w:val="center"/>
        <w:rPr>
          <w:rStyle w:val="Emphasis"/>
          <w:b/>
        </w:rPr>
      </w:pPr>
    </w:p>
    <w:p w14:paraId="18A9E88D" w14:textId="3C4A8E91" w:rsidR="00F07F3F" w:rsidRPr="00F07F3F" w:rsidRDefault="00401039" w:rsidP="008C6A37">
      <w:pPr>
        <w:pStyle w:val="Case"/>
        <w:numPr>
          <w:ilvl w:val="0"/>
          <w:numId w:val="0"/>
        </w:numPr>
        <w:pBdr>
          <w:bottom w:val="single" w:sz="4" w:space="0" w:color="595959"/>
        </w:pBdr>
        <w:rPr>
          <w:rFonts w:eastAsiaTheme="minorEastAsia"/>
        </w:rPr>
      </w:pPr>
      <w:r>
        <w:rPr>
          <w:rFonts w:eastAsiaTheme="minorEastAsia"/>
        </w:rPr>
        <w:t xml:space="preserve"> </w:t>
      </w:r>
      <w:r w:rsidR="001E34BC">
        <w:rPr>
          <w:rFonts w:eastAsiaTheme="minorEastAsia"/>
        </w:rPr>
        <w:t>Affirmative plan cancels federal subsidies for fossil fuels.</w:t>
      </w:r>
      <w:r w:rsidR="00D002D6">
        <w:rPr>
          <w:rFonts w:eastAsiaTheme="minorEastAsia"/>
        </w:rPr>
        <w:t xml:space="preserve">  Subsidies are difficult to define, so we offer a definition showing them to be extremely small, and they’re not really “subsidies” anyway.  </w:t>
      </w:r>
      <w:bookmarkStart w:id="0" w:name="_GoBack"/>
      <w:bookmarkEnd w:id="0"/>
    </w:p>
    <w:p w14:paraId="63A7B96D" w14:textId="5CA67534" w:rsidR="00D002D6"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D002D6">
        <w:rPr>
          <w:noProof/>
        </w:rPr>
        <w:t>Negative: Fossil Fuel Subsidies – not a problem</w:t>
      </w:r>
      <w:r w:rsidR="00D002D6">
        <w:rPr>
          <w:noProof/>
        </w:rPr>
        <w:tab/>
      </w:r>
      <w:r w:rsidR="00D002D6">
        <w:rPr>
          <w:noProof/>
        </w:rPr>
        <w:fldChar w:fldCharType="begin"/>
      </w:r>
      <w:r w:rsidR="00D002D6">
        <w:rPr>
          <w:noProof/>
        </w:rPr>
        <w:instrText xml:space="preserve"> PAGEREF _Toc23538942 \h </w:instrText>
      </w:r>
      <w:r w:rsidR="00D002D6">
        <w:rPr>
          <w:noProof/>
        </w:rPr>
      </w:r>
      <w:r w:rsidR="00D002D6">
        <w:rPr>
          <w:noProof/>
        </w:rPr>
        <w:fldChar w:fldCharType="separate"/>
      </w:r>
      <w:r w:rsidR="00D002D6">
        <w:rPr>
          <w:noProof/>
        </w:rPr>
        <w:t>3</w:t>
      </w:r>
      <w:r w:rsidR="00D002D6">
        <w:rPr>
          <w:noProof/>
        </w:rPr>
        <w:fldChar w:fldCharType="end"/>
      </w:r>
    </w:p>
    <w:p w14:paraId="34817BBE" w14:textId="034A0ACD" w:rsidR="00D002D6" w:rsidRDefault="00D002D6">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_Toc23538943 \h </w:instrText>
      </w:r>
      <w:r>
        <w:rPr>
          <w:noProof/>
        </w:rPr>
      </w:r>
      <w:r>
        <w:rPr>
          <w:noProof/>
        </w:rPr>
        <w:fldChar w:fldCharType="separate"/>
      </w:r>
      <w:r>
        <w:rPr>
          <w:noProof/>
        </w:rPr>
        <w:t>3</w:t>
      </w:r>
      <w:r>
        <w:rPr>
          <w:noProof/>
        </w:rPr>
        <w:fldChar w:fldCharType="end"/>
      </w:r>
    </w:p>
    <w:p w14:paraId="6674E623" w14:textId="6C468EFA" w:rsidR="00D002D6" w:rsidRDefault="00D002D6">
      <w:pPr>
        <w:pStyle w:val="TOC3"/>
        <w:rPr>
          <w:rFonts w:asciiTheme="minorHAnsi" w:eastAsiaTheme="minorEastAsia" w:hAnsiTheme="minorHAnsi" w:cstheme="minorBidi"/>
          <w:noProof/>
          <w:sz w:val="22"/>
        </w:rPr>
      </w:pPr>
      <w:r>
        <w:rPr>
          <w:noProof/>
        </w:rPr>
        <w:t xml:space="preserve">Renewable Fuel Mandates:  On balance there is no fossil fuel subsidy.  They’re forced to subsidize </w:t>
      </w:r>
      <w:r w:rsidRPr="00571465">
        <w:rPr>
          <w:noProof/>
          <w:u w:val="single"/>
        </w:rPr>
        <w:t>other</w:t>
      </w:r>
      <w:r>
        <w:rPr>
          <w:noProof/>
        </w:rPr>
        <w:t xml:space="preserve"> sources of energy</w:t>
      </w:r>
      <w:r>
        <w:rPr>
          <w:noProof/>
        </w:rPr>
        <w:tab/>
      </w:r>
      <w:r>
        <w:rPr>
          <w:noProof/>
        </w:rPr>
        <w:fldChar w:fldCharType="begin"/>
      </w:r>
      <w:r>
        <w:rPr>
          <w:noProof/>
        </w:rPr>
        <w:instrText xml:space="preserve"> PAGEREF _Toc23538944 \h </w:instrText>
      </w:r>
      <w:r>
        <w:rPr>
          <w:noProof/>
        </w:rPr>
      </w:r>
      <w:r>
        <w:rPr>
          <w:noProof/>
        </w:rPr>
        <w:fldChar w:fldCharType="separate"/>
      </w:r>
      <w:r>
        <w:rPr>
          <w:noProof/>
        </w:rPr>
        <w:t>3</w:t>
      </w:r>
      <w:r>
        <w:rPr>
          <w:noProof/>
        </w:rPr>
        <w:fldChar w:fldCharType="end"/>
      </w:r>
    </w:p>
    <w:p w14:paraId="2DADBCCF" w14:textId="1C858434" w:rsidR="00D002D6" w:rsidRDefault="00D002D6">
      <w:pPr>
        <w:pStyle w:val="TOC3"/>
        <w:rPr>
          <w:rFonts w:asciiTheme="minorHAnsi" w:eastAsiaTheme="minorEastAsia" w:hAnsiTheme="minorHAnsi" w:cstheme="minorBidi"/>
          <w:noProof/>
          <w:sz w:val="22"/>
        </w:rPr>
      </w:pPr>
      <w:r>
        <w:rPr>
          <w:noProof/>
        </w:rPr>
        <w:t>Factor in higher tax rates and there’s no net subsidy</w:t>
      </w:r>
      <w:r>
        <w:rPr>
          <w:noProof/>
        </w:rPr>
        <w:tab/>
      </w:r>
      <w:r>
        <w:rPr>
          <w:noProof/>
        </w:rPr>
        <w:fldChar w:fldCharType="begin"/>
      </w:r>
      <w:r>
        <w:rPr>
          <w:noProof/>
        </w:rPr>
        <w:instrText xml:space="preserve"> PAGEREF _Toc23538945 \h </w:instrText>
      </w:r>
      <w:r>
        <w:rPr>
          <w:noProof/>
        </w:rPr>
      </w:r>
      <w:r>
        <w:rPr>
          <w:noProof/>
        </w:rPr>
        <w:fldChar w:fldCharType="separate"/>
      </w:r>
      <w:r>
        <w:rPr>
          <w:noProof/>
        </w:rPr>
        <w:t>3</w:t>
      </w:r>
      <w:r>
        <w:rPr>
          <w:noProof/>
        </w:rPr>
        <w:fldChar w:fldCharType="end"/>
      </w:r>
    </w:p>
    <w:p w14:paraId="7D3120D8" w14:textId="7FEFA066" w:rsidR="00D002D6" w:rsidRDefault="00D002D6">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_Toc23538946 \h </w:instrText>
      </w:r>
      <w:r>
        <w:rPr>
          <w:noProof/>
        </w:rPr>
      </w:r>
      <w:r>
        <w:rPr>
          <w:noProof/>
        </w:rPr>
        <w:fldChar w:fldCharType="separate"/>
      </w:r>
      <w:r>
        <w:rPr>
          <w:noProof/>
        </w:rPr>
        <w:t>3</w:t>
      </w:r>
      <w:r>
        <w:rPr>
          <w:noProof/>
        </w:rPr>
        <w:fldChar w:fldCharType="end"/>
      </w:r>
    </w:p>
    <w:p w14:paraId="60C601E4" w14:textId="1A25B8FF" w:rsidR="00D002D6" w:rsidRDefault="00D002D6">
      <w:pPr>
        <w:pStyle w:val="TOC2"/>
        <w:rPr>
          <w:rFonts w:asciiTheme="minorHAnsi" w:eastAsiaTheme="minorEastAsia" w:hAnsiTheme="minorHAnsi" w:cstheme="minorBidi"/>
          <w:noProof/>
          <w:sz w:val="22"/>
        </w:rPr>
      </w:pPr>
      <w:r>
        <w:rPr>
          <w:noProof/>
        </w:rPr>
        <w:t>1.  Tiny financial impact</w:t>
      </w:r>
      <w:r>
        <w:rPr>
          <w:noProof/>
        </w:rPr>
        <w:tab/>
      </w:r>
      <w:r>
        <w:rPr>
          <w:noProof/>
        </w:rPr>
        <w:fldChar w:fldCharType="begin"/>
      </w:r>
      <w:r>
        <w:rPr>
          <w:noProof/>
        </w:rPr>
        <w:instrText xml:space="preserve"> PAGEREF _Toc23538947 \h </w:instrText>
      </w:r>
      <w:r>
        <w:rPr>
          <w:noProof/>
        </w:rPr>
      </w:r>
      <w:r>
        <w:rPr>
          <w:noProof/>
        </w:rPr>
        <w:fldChar w:fldCharType="separate"/>
      </w:r>
      <w:r>
        <w:rPr>
          <w:noProof/>
        </w:rPr>
        <w:t>3</w:t>
      </w:r>
      <w:r>
        <w:rPr>
          <w:noProof/>
        </w:rPr>
        <w:fldChar w:fldCharType="end"/>
      </w:r>
    </w:p>
    <w:p w14:paraId="274378BF" w14:textId="31F07CD0" w:rsidR="00D002D6" w:rsidRDefault="00D002D6">
      <w:pPr>
        <w:pStyle w:val="TOC3"/>
        <w:rPr>
          <w:rFonts w:asciiTheme="minorHAnsi" w:eastAsiaTheme="minorEastAsia" w:hAnsiTheme="minorHAnsi" w:cstheme="minorBidi"/>
          <w:noProof/>
          <w:sz w:val="22"/>
        </w:rPr>
      </w:pPr>
      <w:r>
        <w:rPr>
          <w:noProof/>
        </w:rPr>
        <w:t>Tax breaks for US oil production are $4 billion/year</w:t>
      </w:r>
      <w:r>
        <w:rPr>
          <w:noProof/>
        </w:rPr>
        <w:tab/>
      </w:r>
      <w:r>
        <w:rPr>
          <w:noProof/>
        </w:rPr>
        <w:fldChar w:fldCharType="begin"/>
      </w:r>
      <w:r>
        <w:rPr>
          <w:noProof/>
        </w:rPr>
        <w:instrText xml:space="preserve"> PAGEREF _Toc23538948 \h </w:instrText>
      </w:r>
      <w:r>
        <w:rPr>
          <w:noProof/>
        </w:rPr>
      </w:r>
      <w:r>
        <w:rPr>
          <w:noProof/>
        </w:rPr>
        <w:fldChar w:fldCharType="separate"/>
      </w:r>
      <w:r>
        <w:rPr>
          <w:noProof/>
        </w:rPr>
        <w:t>3</w:t>
      </w:r>
      <w:r>
        <w:rPr>
          <w:noProof/>
        </w:rPr>
        <w:fldChar w:fldCharType="end"/>
      </w:r>
    </w:p>
    <w:p w14:paraId="627C06F5" w14:textId="1187638F" w:rsidR="00D002D6" w:rsidRDefault="00D002D6">
      <w:pPr>
        <w:pStyle w:val="TOC3"/>
        <w:rPr>
          <w:rFonts w:asciiTheme="minorHAnsi" w:eastAsiaTheme="minorEastAsia" w:hAnsiTheme="minorHAnsi" w:cstheme="minorBidi"/>
          <w:noProof/>
          <w:sz w:val="22"/>
        </w:rPr>
      </w:pPr>
      <w:r>
        <w:rPr>
          <w:noProof/>
        </w:rPr>
        <w:t>Federal budget is $4.7 trillion.   Analysis:  $4 billion divided by $4.7 trillion = 0.085% of the federal budget</w:t>
      </w:r>
      <w:r>
        <w:rPr>
          <w:noProof/>
        </w:rPr>
        <w:tab/>
      </w:r>
      <w:r>
        <w:rPr>
          <w:noProof/>
        </w:rPr>
        <w:fldChar w:fldCharType="begin"/>
      </w:r>
      <w:r>
        <w:rPr>
          <w:noProof/>
        </w:rPr>
        <w:instrText xml:space="preserve"> PAGEREF _Toc23538949 \h </w:instrText>
      </w:r>
      <w:r>
        <w:rPr>
          <w:noProof/>
        </w:rPr>
      </w:r>
      <w:r>
        <w:rPr>
          <w:noProof/>
        </w:rPr>
        <w:fldChar w:fldCharType="separate"/>
      </w:r>
      <w:r>
        <w:rPr>
          <w:noProof/>
        </w:rPr>
        <w:t>4</w:t>
      </w:r>
      <w:r>
        <w:rPr>
          <w:noProof/>
        </w:rPr>
        <w:fldChar w:fldCharType="end"/>
      </w:r>
    </w:p>
    <w:p w14:paraId="4B23E176" w14:textId="683336E9" w:rsidR="00D002D6" w:rsidRDefault="00D002D6">
      <w:pPr>
        <w:pStyle w:val="TOC2"/>
        <w:rPr>
          <w:rFonts w:asciiTheme="minorHAnsi" w:eastAsiaTheme="minorEastAsia" w:hAnsiTheme="minorHAnsi" w:cstheme="minorBidi"/>
          <w:noProof/>
          <w:sz w:val="22"/>
        </w:rPr>
      </w:pPr>
      <w:r>
        <w:rPr>
          <w:noProof/>
        </w:rPr>
        <w:t>2.   They’re not subsidies</w:t>
      </w:r>
      <w:r>
        <w:rPr>
          <w:noProof/>
        </w:rPr>
        <w:tab/>
      </w:r>
      <w:r>
        <w:rPr>
          <w:noProof/>
        </w:rPr>
        <w:fldChar w:fldCharType="begin"/>
      </w:r>
      <w:r>
        <w:rPr>
          <w:noProof/>
        </w:rPr>
        <w:instrText xml:space="preserve"> PAGEREF _Toc23538950 \h </w:instrText>
      </w:r>
      <w:r>
        <w:rPr>
          <w:noProof/>
        </w:rPr>
      </w:r>
      <w:r>
        <w:rPr>
          <w:noProof/>
        </w:rPr>
        <w:fldChar w:fldCharType="separate"/>
      </w:r>
      <w:r>
        <w:rPr>
          <w:noProof/>
        </w:rPr>
        <w:t>4</w:t>
      </w:r>
      <w:r>
        <w:rPr>
          <w:noProof/>
        </w:rPr>
        <w:fldChar w:fldCharType="end"/>
      </w:r>
    </w:p>
    <w:p w14:paraId="3A8D3A65" w14:textId="34606079" w:rsidR="00D002D6" w:rsidRDefault="00D002D6">
      <w:pPr>
        <w:pStyle w:val="TOC3"/>
        <w:rPr>
          <w:rFonts w:asciiTheme="minorHAnsi" w:eastAsiaTheme="minorEastAsia" w:hAnsiTheme="minorHAnsi" w:cstheme="minorBidi"/>
          <w:noProof/>
          <w:sz w:val="22"/>
        </w:rPr>
      </w:pPr>
      <w:r>
        <w:rPr>
          <w:noProof/>
        </w:rPr>
        <w:t>The MLP “subsidy” is simply avoiding double taxation, just like other industries do</w:t>
      </w:r>
      <w:r>
        <w:rPr>
          <w:noProof/>
        </w:rPr>
        <w:tab/>
      </w:r>
      <w:r>
        <w:rPr>
          <w:noProof/>
        </w:rPr>
        <w:fldChar w:fldCharType="begin"/>
      </w:r>
      <w:r>
        <w:rPr>
          <w:noProof/>
        </w:rPr>
        <w:instrText xml:space="preserve"> PAGEREF _Toc23538951 \h </w:instrText>
      </w:r>
      <w:r>
        <w:rPr>
          <w:noProof/>
        </w:rPr>
      </w:r>
      <w:r>
        <w:rPr>
          <w:noProof/>
        </w:rPr>
        <w:fldChar w:fldCharType="separate"/>
      </w:r>
      <w:r>
        <w:rPr>
          <w:noProof/>
        </w:rPr>
        <w:t>4</w:t>
      </w:r>
      <w:r>
        <w:rPr>
          <w:noProof/>
        </w:rPr>
        <w:fldChar w:fldCharType="end"/>
      </w:r>
    </w:p>
    <w:p w14:paraId="5705F5F4" w14:textId="397AB859" w:rsidR="00D002D6" w:rsidRDefault="00D002D6">
      <w:pPr>
        <w:pStyle w:val="TOC3"/>
        <w:rPr>
          <w:rFonts w:asciiTheme="minorHAnsi" w:eastAsiaTheme="minorEastAsia" w:hAnsiTheme="minorHAnsi" w:cstheme="minorBidi"/>
          <w:noProof/>
          <w:sz w:val="22"/>
        </w:rPr>
      </w:pPr>
      <w:r>
        <w:rPr>
          <w:noProof/>
        </w:rPr>
        <w:t>Intangible Drilling Cost (IDC) deductions are not a “subsidy”</w:t>
      </w:r>
      <w:r>
        <w:rPr>
          <w:noProof/>
        </w:rPr>
        <w:tab/>
      </w:r>
      <w:r>
        <w:rPr>
          <w:noProof/>
        </w:rPr>
        <w:fldChar w:fldCharType="begin"/>
      </w:r>
      <w:r>
        <w:rPr>
          <w:noProof/>
        </w:rPr>
        <w:instrText xml:space="preserve"> PAGEREF _Toc23538952 \h </w:instrText>
      </w:r>
      <w:r>
        <w:rPr>
          <w:noProof/>
        </w:rPr>
      </w:r>
      <w:r>
        <w:rPr>
          <w:noProof/>
        </w:rPr>
        <w:fldChar w:fldCharType="separate"/>
      </w:r>
      <w:r>
        <w:rPr>
          <w:noProof/>
        </w:rPr>
        <w:t>4</w:t>
      </w:r>
      <w:r>
        <w:rPr>
          <w:noProof/>
        </w:rPr>
        <w:fldChar w:fldCharType="end"/>
      </w:r>
    </w:p>
    <w:p w14:paraId="1AB97380" w14:textId="78C726A2" w:rsidR="00D002D6" w:rsidRDefault="00D002D6">
      <w:pPr>
        <w:pStyle w:val="TOC3"/>
        <w:rPr>
          <w:rFonts w:asciiTheme="minorHAnsi" w:eastAsiaTheme="minorEastAsia" w:hAnsiTheme="minorHAnsi" w:cstheme="minorBidi"/>
          <w:noProof/>
          <w:sz w:val="22"/>
        </w:rPr>
      </w:pPr>
      <w:r>
        <w:rPr>
          <w:noProof/>
        </w:rPr>
        <w:t>Royalty Payment Reductions don’t matter – they still pay taxes</w:t>
      </w:r>
      <w:r>
        <w:rPr>
          <w:noProof/>
        </w:rPr>
        <w:tab/>
      </w:r>
      <w:r>
        <w:rPr>
          <w:noProof/>
        </w:rPr>
        <w:fldChar w:fldCharType="begin"/>
      </w:r>
      <w:r>
        <w:rPr>
          <w:noProof/>
        </w:rPr>
        <w:instrText xml:space="preserve"> PAGEREF _Toc23538953 \h </w:instrText>
      </w:r>
      <w:r>
        <w:rPr>
          <w:noProof/>
        </w:rPr>
      </w:r>
      <w:r>
        <w:rPr>
          <w:noProof/>
        </w:rPr>
        <w:fldChar w:fldCharType="separate"/>
      </w:r>
      <w:r>
        <w:rPr>
          <w:noProof/>
        </w:rPr>
        <w:t>4</w:t>
      </w:r>
      <w:r>
        <w:rPr>
          <w:noProof/>
        </w:rPr>
        <w:fldChar w:fldCharType="end"/>
      </w:r>
    </w:p>
    <w:p w14:paraId="5790B184" w14:textId="5A0755A7" w:rsidR="00D002D6" w:rsidRDefault="00D002D6">
      <w:pPr>
        <w:pStyle w:val="TOC3"/>
        <w:rPr>
          <w:rFonts w:asciiTheme="minorHAnsi" w:eastAsiaTheme="minorEastAsia" w:hAnsiTheme="minorHAnsi" w:cstheme="minorBidi"/>
          <w:noProof/>
          <w:sz w:val="22"/>
        </w:rPr>
      </w:pPr>
      <w:r>
        <w:rPr>
          <w:noProof/>
        </w:rPr>
        <w:t>Depletion Allowance – no different from deductions given to other companies</w:t>
      </w:r>
      <w:r>
        <w:rPr>
          <w:noProof/>
        </w:rPr>
        <w:tab/>
      </w:r>
      <w:r>
        <w:rPr>
          <w:noProof/>
        </w:rPr>
        <w:fldChar w:fldCharType="begin"/>
      </w:r>
      <w:r>
        <w:rPr>
          <w:noProof/>
        </w:rPr>
        <w:instrText xml:space="preserve"> PAGEREF _Toc23538954 \h </w:instrText>
      </w:r>
      <w:r>
        <w:rPr>
          <w:noProof/>
        </w:rPr>
      </w:r>
      <w:r>
        <w:rPr>
          <w:noProof/>
        </w:rPr>
        <w:fldChar w:fldCharType="separate"/>
      </w:r>
      <w:r>
        <w:rPr>
          <w:noProof/>
        </w:rPr>
        <w:t>4</w:t>
      </w:r>
      <w:r>
        <w:rPr>
          <w:noProof/>
        </w:rPr>
        <w:fldChar w:fldCharType="end"/>
      </w:r>
    </w:p>
    <w:p w14:paraId="64F701BF" w14:textId="40EE782D" w:rsidR="00D002D6" w:rsidRDefault="00D002D6">
      <w:pPr>
        <w:pStyle w:val="TOC3"/>
        <w:rPr>
          <w:rFonts w:asciiTheme="minorHAnsi" w:eastAsiaTheme="minorEastAsia" w:hAnsiTheme="minorHAnsi" w:cstheme="minorBidi"/>
          <w:noProof/>
          <w:sz w:val="22"/>
        </w:rPr>
      </w:pPr>
      <w:r>
        <w:rPr>
          <w:noProof/>
        </w:rPr>
        <w:t>Domestic Manufacturing Deduction – covers multiple business segments, not just oil &amp; gas</w:t>
      </w:r>
      <w:r>
        <w:rPr>
          <w:noProof/>
        </w:rPr>
        <w:tab/>
      </w:r>
      <w:r>
        <w:rPr>
          <w:noProof/>
        </w:rPr>
        <w:fldChar w:fldCharType="begin"/>
      </w:r>
      <w:r>
        <w:rPr>
          <w:noProof/>
        </w:rPr>
        <w:instrText xml:space="preserve"> PAGEREF _Toc23538955 \h </w:instrText>
      </w:r>
      <w:r>
        <w:rPr>
          <w:noProof/>
        </w:rPr>
      </w:r>
      <w:r>
        <w:rPr>
          <w:noProof/>
        </w:rPr>
        <w:fldChar w:fldCharType="separate"/>
      </w:r>
      <w:r>
        <w:rPr>
          <w:noProof/>
        </w:rPr>
        <w:t>5</w:t>
      </w:r>
      <w:r>
        <w:rPr>
          <w:noProof/>
        </w:rPr>
        <w:fldChar w:fldCharType="end"/>
      </w:r>
    </w:p>
    <w:p w14:paraId="730AF2B2" w14:textId="5C07689D" w:rsidR="00D002D6" w:rsidRDefault="00D002D6">
      <w:pPr>
        <w:pStyle w:val="TOC3"/>
        <w:rPr>
          <w:rFonts w:asciiTheme="minorHAnsi" w:eastAsiaTheme="minorEastAsia" w:hAnsiTheme="minorHAnsi" w:cstheme="minorBidi"/>
          <w:noProof/>
          <w:sz w:val="22"/>
        </w:rPr>
      </w:pPr>
      <w:r>
        <w:rPr>
          <w:noProof/>
        </w:rPr>
        <w:t>Foreign Tax Credit – applies to any corporation doing business outside the US, not just oil &amp; gas</w:t>
      </w:r>
      <w:r>
        <w:rPr>
          <w:noProof/>
        </w:rPr>
        <w:tab/>
      </w:r>
      <w:r>
        <w:rPr>
          <w:noProof/>
        </w:rPr>
        <w:fldChar w:fldCharType="begin"/>
      </w:r>
      <w:r>
        <w:rPr>
          <w:noProof/>
        </w:rPr>
        <w:instrText xml:space="preserve"> PAGEREF _Toc23538956 \h </w:instrText>
      </w:r>
      <w:r>
        <w:rPr>
          <w:noProof/>
        </w:rPr>
      </w:r>
      <w:r>
        <w:rPr>
          <w:noProof/>
        </w:rPr>
        <w:fldChar w:fldCharType="separate"/>
      </w:r>
      <w:r>
        <w:rPr>
          <w:noProof/>
        </w:rPr>
        <w:t>5</w:t>
      </w:r>
      <w:r>
        <w:rPr>
          <w:noProof/>
        </w:rPr>
        <w:fldChar w:fldCharType="end"/>
      </w:r>
    </w:p>
    <w:p w14:paraId="060D8F9A" w14:textId="53280DF4" w:rsidR="00D002D6" w:rsidRDefault="00D002D6">
      <w:pPr>
        <w:pStyle w:val="TOC2"/>
        <w:rPr>
          <w:rFonts w:asciiTheme="minorHAnsi" w:eastAsiaTheme="minorEastAsia" w:hAnsiTheme="minorHAnsi" w:cstheme="minorBidi"/>
          <w:noProof/>
          <w:sz w:val="22"/>
        </w:rPr>
      </w:pPr>
      <w:r>
        <w:rPr>
          <w:noProof/>
        </w:rPr>
        <w:t>3.  Tiny compared to subsidies for non-fossil energy</w:t>
      </w:r>
      <w:r>
        <w:rPr>
          <w:noProof/>
        </w:rPr>
        <w:tab/>
      </w:r>
      <w:r>
        <w:rPr>
          <w:noProof/>
        </w:rPr>
        <w:fldChar w:fldCharType="begin"/>
      </w:r>
      <w:r>
        <w:rPr>
          <w:noProof/>
        </w:rPr>
        <w:instrText xml:space="preserve"> PAGEREF _Toc23538957 \h </w:instrText>
      </w:r>
      <w:r>
        <w:rPr>
          <w:noProof/>
        </w:rPr>
      </w:r>
      <w:r>
        <w:rPr>
          <w:noProof/>
        </w:rPr>
        <w:fldChar w:fldCharType="separate"/>
      </w:r>
      <w:r>
        <w:rPr>
          <w:noProof/>
        </w:rPr>
        <w:t>5</w:t>
      </w:r>
      <w:r>
        <w:rPr>
          <w:noProof/>
        </w:rPr>
        <w:fldChar w:fldCharType="end"/>
      </w:r>
    </w:p>
    <w:p w14:paraId="514AC104" w14:textId="019F2857" w:rsidR="00D002D6" w:rsidRDefault="00D002D6">
      <w:pPr>
        <w:pStyle w:val="TOC3"/>
        <w:rPr>
          <w:rFonts w:asciiTheme="minorHAnsi" w:eastAsiaTheme="minorEastAsia" w:hAnsiTheme="minorHAnsi" w:cstheme="minorBidi"/>
          <w:noProof/>
          <w:sz w:val="22"/>
        </w:rPr>
      </w:pPr>
      <w:r>
        <w:rPr>
          <w:noProof/>
        </w:rPr>
        <w:t>Non-fossil fuel energy gets 14 times more subsidies</w:t>
      </w:r>
      <w:r>
        <w:rPr>
          <w:noProof/>
        </w:rPr>
        <w:tab/>
      </w:r>
      <w:r>
        <w:rPr>
          <w:noProof/>
        </w:rPr>
        <w:fldChar w:fldCharType="begin"/>
      </w:r>
      <w:r>
        <w:rPr>
          <w:noProof/>
        </w:rPr>
        <w:instrText xml:space="preserve"> PAGEREF _Toc23538958 \h </w:instrText>
      </w:r>
      <w:r>
        <w:rPr>
          <w:noProof/>
        </w:rPr>
      </w:r>
      <w:r>
        <w:rPr>
          <w:noProof/>
        </w:rPr>
        <w:fldChar w:fldCharType="separate"/>
      </w:r>
      <w:r>
        <w:rPr>
          <w:noProof/>
        </w:rPr>
        <w:t>5</w:t>
      </w:r>
      <w:r>
        <w:rPr>
          <w:noProof/>
        </w:rPr>
        <w:fldChar w:fldCharType="end"/>
      </w:r>
    </w:p>
    <w:p w14:paraId="3BDB8787" w14:textId="0836B63D" w:rsidR="00D002D6" w:rsidRDefault="00D002D6">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_Toc23538959 \h </w:instrText>
      </w:r>
      <w:r>
        <w:rPr>
          <w:noProof/>
        </w:rPr>
      </w:r>
      <w:r>
        <w:rPr>
          <w:noProof/>
        </w:rPr>
        <w:fldChar w:fldCharType="separate"/>
      </w:r>
      <w:r>
        <w:rPr>
          <w:noProof/>
        </w:rPr>
        <w:t>6</w:t>
      </w:r>
      <w:r>
        <w:rPr>
          <w:noProof/>
        </w:rPr>
        <w:fldChar w:fldCharType="end"/>
      </w:r>
    </w:p>
    <w:p w14:paraId="6FEB0E0C" w14:textId="4EBF3E8A" w:rsidR="00D002D6" w:rsidRDefault="00D002D6">
      <w:pPr>
        <w:pStyle w:val="TOC2"/>
        <w:rPr>
          <w:rFonts w:asciiTheme="minorHAnsi" w:eastAsiaTheme="minorEastAsia" w:hAnsiTheme="minorHAnsi" w:cstheme="minorBidi"/>
          <w:noProof/>
          <w:sz w:val="22"/>
        </w:rPr>
      </w:pPr>
      <w:r>
        <w:rPr>
          <w:noProof/>
        </w:rPr>
        <w:t>1.  Won’t reduce CO2</w:t>
      </w:r>
      <w:r>
        <w:rPr>
          <w:noProof/>
        </w:rPr>
        <w:tab/>
      </w:r>
      <w:r>
        <w:rPr>
          <w:noProof/>
        </w:rPr>
        <w:fldChar w:fldCharType="begin"/>
      </w:r>
      <w:r>
        <w:rPr>
          <w:noProof/>
        </w:rPr>
        <w:instrText xml:space="preserve"> PAGEREF _Toc23538960 \h </w:instrText>
      </w:r>
      <w:r>
        <w:rPr>
          <w:noProof/>
        </w:rPr>
      </w:r>
      <w:r>
        <w:rPr>
          <w:noProof/>
        </w:rPr>
        <w:fldChar w:fldCharType="separate"/>
      </w:r>
      <w:r>
        <w:rPr>
          <w:noProof/>
        </w:rPr>
        <w:t>6</w:t>
      </w:r>
      <w:r>
        <w:rPr>
          <w:noProof/>
        </w:rPr>
        <w:fldChar w:fldCharType="end"/>
      </w:r>
    </w:p>
    <w:p w14:paraId="2786D18E" w14:textId="092C79C7" w:rsidR="00D002D6" w:rsidRDefault="00D002D6">
      <w:pPr>
        <w:pStyle w:val="TOC3"/>
        <w:rPr>
          <w:rFonts w:asciiTheme="minorHAnsi" w:eastAsiaTheme="minorEastAsia" w:hAnsiTheme="minorHAnsi" w:cstheme="minorBidi"/>
          <w:noProof/>
          <w:sz w:val="22"/>
        </w:rPr>
      </w:pPr>
      <w:r>
        <w:rPr>
          <w:noProof/>
        </w:rPr>
        <w:t>Decrease in US oil production after AFF plan would be made up by increased foreign production, so no net climate emissions benefit</w:t>
      </w:r>
      <w:r>
        <w:rPr>
          <w:noProof/>
        </w:rPr>
        <w:tab/>
      </w:r>
      <w:r>
        <w:rPr>
          <w:noProof/>
        </w:rPr>
        <w:fldChar w:fldCharType="begin"/>
      </w:r>
      <w:r>
        <w:rPr>
          <w:noProof/>
        </w:rPr>
        <w:instrText xml:space="preserve"> PAGEREF _Toc23538961 \h </w:instrText>
      </w:r>
      <w:r>
        <w:rPr>
          <w:noProof/>
        </w:rPr>
      </w:r>
      <w:r>
        <w:rPr>
          <w:noProof/>
        </w:rPr>
        <w:fldChar w:fldCharType="separate"/>
      </w:r>
      <w:r>
        <w:rPr>
          <w:noProof/>
        </w:rPr>
        <w:t>6</w:t>
      </w:r>
      <w:r>
        <w:rPr>
          <w:noProof/>
        </w:rPr>
        <w:fldChar w:fldCharType="end"/>
      </w:r>
    </w:p>
    <w:p w14:paraId="7A21FD57" w14:textId="774C1A72" w:rsidR="00D002D6" w:rsidRDefault="00D002D6">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_Toc23538962 \h </w:instrText>
      </w:r>
      <w:r>
        <w:rPr>
          <w:noProof/>
        </w:rPr>
      </w:r>
      <w:r>
        <w:rPr>
          <w:noProof/>
        </w:rPr>
        <w:fldChar w:fldCharType="separate"/>
      </w:r>
      <w:r>
        <w:rPr>
          <w:noProof/>
        </w:rPr>
        <w:t>7</w:t>
      </w:r>
      <w:r>
        <w:rPr>
          <w:noProof/>
        </w:rPr>
        <w:fldChar w:fldCharType="end"/>
      </w:r>
    </w:p>
    <w:p w14:paraId="0500DAC2" w14:textId="1AD67828" w:rsidR="00D002D6" w:rsidRDefault="00D002D6">
      <w:pPr>
        <w:pStyle w:val="TOC2"/>
        <w:rPr>
          <w:rFonts w:asciiTheme="minorHAnsi" w:eastAsiaTheme="minorEastAsia" w:hAnsiTheme="minorHAnsi" w:cstheme="minorBidi"/>
          <w:noProof/>
          <w:sz w:val="22"/>
        </w:rPr>
      </w:pPr>
      <w:r>
        <w:rPr>
          <w:noProof/>
        </w:rPr>
        <w:t>1.  Less US-produced oil and gas</w:t>
      </w:r>
      <w:r>
        <w:rPr>
          <w:noProof/>
        </w:rPr>
        <w:tab/>
      </w:r>
      <w:r>
        <w:rPr>
          <w:noProof/>
        </w:rPr>
        <w:fldChar w:fldCharType="begin"/>
      </w:r>
      <w:r>
        <w:rPr>
          <w:noProof/>
        </w:rPr>
        <w:instrText xml:space="preserve"> PAGEREF _Toc23538963 \h </w:instrText>
      </w:r>
      <w:r>
        <w:rPr>
          <w:noProof/>
        </w:rPr>
      </w:r>
      <w:r>
        <w:rPr>
          <w:noProof/>
        </w:rPr>
        <w:fldChar w:fldCharType="separate"/>
      </w:r>
      <w:r>
        <w:rPr>
          <w:noProof/>
        </w:rPr>
        <w:t>7</w:t>
      </w:r>
      <w:r>
        <w:rPr>
          <w:noProof/>
        </w:rPr>
        <w:fldChar w:fldCharType="end"/>
      </w:r>
    </w:p>
    <w:p w14:paraId="0CD50A8A" w14:textId="51E981DA" w:rsidR="00D002D6" w:rsidRDefault="00D002D6">
      <w:pPr>
        <w:pStyle w:val="TOC3"/>
        <w:rPr>
          <w:rFonts w:asciiTheme="minorHAnsi" w:eastAsiaTheme="minorEastAsia" w:hAnsiTheme="minorHAnsi" w:cstheme="minorBidi"/>
          <w:noProof/>
          <w:sz w:val="22"/>
        </w:rPr>
      </w:pPr>
      <w:r>
        <w:rPr>
          <w:noProof/>
        </w:rPr>
        <w:t>Link:  Canceling tax preferences = 9% fewer oil wells and 11% fewer gas wells</w:t>
      </w:r>
      <w:r>
        <w:rPr>
          <w:noProof/>
        </w:rPr>
        <w:tab/>
      </w:r>
      <w:r>
        <w:rPr>
          <w:noProof/>
        </w:rPr>
        <w:fldChar w:fldCharType="begin"/>
      </w:r>
      <w:r>
        <w:rPr>
          <w:noProof/>
        </w:rPr>
        <w:instrText xml:space="preserve"> PAGEREF _Toc23538964 \h </w:instrText>
      </w:r>
      <w:r>
        <w:rPr>
          <w:noProof/>
        </w:rPr>
      </w:r>
      <w:r>
        <w:rPr>
          <w:noProof/>
        </w:rPr>
        <w:fldChar w:fldCharType="separate"/>
      </w:r>
      <w:r>
        <w:rPr>
          <w:noProof/>
        </w:rPr>
        <w:t>7</w:t>
      </w:r>
      <w:r>
        <w:rPr>
          <w:noProof/>
        </w:rPr>
        <w:fldChar w:fldCharType="end"/>
      </w:r>
    </w:p>
    <w:p w14:paraId="6401FD3D" w14:textId="40F8EAED" w:rsidR="00D002D6" w:rsidRDefault="00D002D6">
      <w:pPr>
        <w:pStyle w:val="TOC3"/>
        <w:rPr>
          <w:rFonts w:asciiTheme="minorHAnsi" w:eastAsiaTheme="minorEastAsia" w:hAnsiTheme="minorHAnsi" w:cstheme="minorBidi"/>
          <w:noProof/>
          <w:sz w:val="22"/>
        </w:rPr>
      </w:pPr>
      <w:r>
        <w:rPr>
          <w:noProof/>
        </w:rPr>
        <w:t>Impact:  Importing more oil hurts US and global security, funds our enemies and fuels violence</w:t>
      </w:r>
      <w:r>
        <w:rPr>
          <w:noProof/>
        </w:rPr>
        <w:tab/>
      </w:r>
      <w:r>
        <w:rPr>
          <w:noProof/>
        </w:rPr>
        <w:fldChar w:fldCharType="begin"/>
      </w:r>
      <w:r>
        <w:rPr>
          <w:noProof/>
        </w:rPr>
        <w:instrText xml:space="preserve"> PAGEREF _Toc23538965 \h </w:instrText>
      </w:r>
      <w:r>
        <w:rPr>
          <w:noProof/>
        </w:rPr>
      </w:r>
      <w:r>
        <w:rPr>
          <w:noProof/>
        </w:rPr>
        <w:fldChar w:fldCharType="separate"/>
      </w:r>
      <w:r>
        <w:rPr>
          <w:noProof/>
        </w:rPr>
        <w:t>7</w:t>
      </w:r>
      <w:r>
        <w:rPr>
          <w:noProof/>
        </w:rPr>
        <w:fldChar w:fldCharType="end"/>
      </w:r>
    </w:p>
    <w:p w14:paraId="3B5CF456" w14:textId="74E6B330" w:rsidR="00D002D6" w:rsidRDefault="00D002D6">
      <w:pPr>
        <w:pStyle w:val="TOC2"/>
        <w:rPr>
          <w:rFonts w:asciiTheme="minorHAnsi" w:eastAsiaTheme="minorEastAsia" w:hAnsiTheme="minorHAnsi" w:cstheme="minorBidi"/>
          <w:noProof/>
          <w:sz w:val="22"/>
        </w:rPr>
      </w:pPr>
      <w:r>
        <w:rPr>
          <w:noProof/>
        </w:rPr>
        <w:t>2.  Economic harm and human suffering</w:t>
      </w:r>
      <w:r>
        <w:rPr>
          <w:noProof/>
        </w:rPr>
        <w:tab/>
      </w:r>
      <w:r>
        <w:rPr>
          <w:noProof/>
        </w:rPr>
        <w:fldChar w:fldCharType="begin"/>
      </w:r>
      <w:r>
        <w:rPr>
          <w:noProof/>
        </w:rPr>
        <w:instrText xml:space="preserve"> PAGEREF _Toc23538966 \h </w:instrText>
      </w:r>
      <w:r>
        <w:rPr>
          <w:noProof/>
        </w:rPr>
      </w:r>
      <w:r>
        <w:rPr>
          <w:noProof/>
        </w:rPr>
        <w:fldChar w:fldCharType="separate"/>
      </w:r>
      <w:r>
        <w:rPr>
          <w:noProof/>
        </w:rPr>
        <w:t>7</w:t>
      </w:r>
      <w:r>
        <w:rPr>
          <w:noProof/>
        </w:rPr>
        <w:fldChar w:fldCharType="end"/>
      </w:r>
    </w:p>
    <w:p w14:paraId="781665A6" w14:textId="6F9D62F6" w:rsidR="00D002D6" w:rsidRDefault="00D002D6">
      <w:pPr>
        <w:pStyle w:val="TOC3"/>
        <w:rPr>
          <w:rFonts w:asciiTheme="minorHAnsi" w:eastAsiaTheme="minorEastAsia" w:hAnsiTheme="minorHAnsi" w:cstheme="minorBidi"/>
          <w:noProof/>
          <w:sz w:val="22"/>
        </w:rPr>
      </w:pPr>
      <w:r>
        <w:rPr>
          <w:noProof/>
        </w:rPr>
        <w:t>Link:  AFF plan tries to reduce consumption of fossil fuels and/or make them more expensive</w:t>
      </w:r>
      <w:r>
        <w:rPr>
          <w:noProof/>
        </w:rPr>
        <w:tab/>
      </w:r>
      <w:r>
        <w:rPr>
          <w:noProof/>
        </w:rPr>
        <w:fldChar w:fldCharType="begin"/>
      </w:r>
      <w:r>
        <w:rPr>
          <w:noProof/>
        </w:rPr>
        <w:instrText xml:space="preserve"> PAGEREF _Toc23538967 \h </w:instrText>
      </w:r>
      <w:r>
        <w:rPr>
          <w:noProof/>
        </w:rPr>
      </w:r>
      <w:r>
        <w:rPr>
          <w:noProof/>
        </w:rPr>
        <w:fldChar w:fldCharType="separate"/>
      </w:r>
      <w:r>
        <w:rPr>
          <w:noProof/>
        </w:rPr>
        <w:t>7</w:t>
      </w:r>
      <w:r>
        <w:rPr>
          <w:noProof/>
        </w:rPr>
        <w:fldChar w:fldCharType="end"/>
      </w:r>
    </w:p>
    <w:p w14:paraId="0E468C6A" w14:textId="0D3131FA" w:rsidR="00D002D6" w:rsidRDefault="00D002D6">
      <w:pPr>
        <w:pStyle w:val="TOC3"/>
        <w:rPr>
          <w:rFonts w:asciiTheme="minorHAnsi" w:eastAsiaTheme="minorEastAsia" w:hAnsiTheme="minorHAnsi" w:cstheme="minorBidi"/>
          <w:noProof/>
          <w:sz w:val="22"/>
        </w:rPr>
      </w:pPr>
      <w:r>
        <w:rPr>
          <w:noProof/>
        </w:rPr>
        <w:t>Impact:  Cheap fossil fuels drive global economic success and solve human poverty and suffering</w:t>
      </w:r>
      <w:r>
        <w:rPr>
          <w:noProof/>
        </w:rPr>
        <w:tab/>
      </w:r>
      <w:r>
        <w:rPr>
          <w:noProof/>
        </w:rPr>
        <w:fldChar w:fldCharType="begin"/>
      </w:r>
      <w:r>
        <w:rPr>
          <w:noProof/>
        </w:rPr>
        <w:instrText xml:space="preserve"> PAGEREF _Toc23538968 \h </w:instrText>
      </w:r>
      <w:r>
        <w:rPr>
          <w:noProof/>
        </w:rPr>
      </w:r>
      <w:r>
        <w:rPr>
          <w:noProof/>
        </w:rPr>
        <w:fldChar w:fldCharType="separate"/>
      </w:r>
      <w:r>
        <w:rPr>
          <w:noProof/>
        </w:rPr>
        <w:t>7</w:t>
      </w:r>
      <w:r>
        <w:rPr>
          <w:noProof/>
        </w:rPr>
        <w:fldChar w:fldCharType="end"/>
      </w:r>
    </w:p>
    <w:p w14:paraId="438582C5" w14:textId="43E2767B" w:rsidR="00D002D6" w:rsidRDefault="00D002D6">
      <w:pPr>
        <w:pStyle w:val="TOC2"/>
        <w:rPr>
          <w:rFonts w:asciiTheme="minorHAnsi" w:eastAsiaTheme="minorEastAsia" w:hAnsiTheme="minorHAnsi" w:cstheme="minorBidi"/>
          <w:noProof/>
          <w:sz w:val="22"/>
        </w:rPr>
      </w:pPr>
      <w:r>
        <w:rPr>
          <w:noProof/>
        </w:rPr>
        <w:t>3.  Harms the poor</w:t>
      </w:r>
      <w:r>
        <w:rPr>
          <w:noProof/>
        </w:rPr>
        <w:tab/>
      </w:r>
      <w:r>
        <w:rPr>
          <w:noProof/>
        </w:rPr>
        <w:fldChar w:fldCharType="begin"/>
      </w:r>
      <w:r>
        <w:rPr>
          <w:noProof/>
        </w:rPr>
        <w:instrText xml:space="preserve"> PAGEREF _Toc23538969 \h </w:instrText>
      </w:r>
      <w:r>
        <w:rPr>
          <w:noProof/>
        </w:rPr>
      </w:r>
      <w:r>
        <w:rPr>
          <w:noProof/>
        </w:rPr>
        <w:fldChar w:fldCharType="separate"/>
      </w:r>
      <w:r>
        <w:rPr>
          <w:noProof/>
        </w:rPr>
        <w:t>8</w:t>
      </w:r>
      <w:r>
        <w:rPr>
          <w:noProof/>
        </w:rPr>
        <w:fldChar w:fldCharType="end"/>
      </w:r>
    </w:p>
    <w:p w14:paraId="73F6853F" w14:textId="5C3093B8" w:rsidR="00D002D6" w:rsidRDefault="00D002D6">
      <w:pPr>
        <w:pStyle w:val="TOC3"/>
        <w:rPr>
          <w:rFonts w:asciiTheme="minorHAnsi" w:eastAsiaTheme="minorEastAsia" w:hAnsiTheme="minorHAnsi" w:cstheme="minorBidi"/>
          <w:noProof/>
          <w:sz w:val="22"/>
        </w:rPr>
      </w:pPr>
      <w:r>
        <w:rPr>
          <w:noProof/>
        </w:rPr>
        <w:t>Lower cost oil benefits the health and well-being of the poor</w:t>
      </w:r>
      <w:r>
        <w:rPr>
          <w:noProof/>
        </w:rPr>
        <w:tab/>
      </w:r>
      <w:r>
        <w:rPr>
          <w:noProof/>
        </w:rPr>
        <w:fldChar w:fldCharType="begin"/>
      </w:r>
      <w:r>
        <w:rPr>
          <w:noProof/>
        </w:rPr>
        <w:instrText xml:space="preserve"> PAGEREF _Toc23538970 \h </w:instrText>
      </w:r>
      <w:r>
        <w:rPr>
          <w:noProof/>
        </w:rPr>
      </w:r>
      <w:r>
        <w:rPr>
          <w:noProof/>
        </w:rPr>
        <w:fldChar w:fldCharType="separate"/>
      </w:r>
      <w:r>
        <w:rPr>
          <w:noProof/>
        </w:rPr>
        <w:t>8</w:t>
      </w:r>
      <w:r>
        <w:rPr>
          <w:noProof/>
        </w:rPr>
        <w:fldChar w:fldCharType="end"/>
      </w:r>
    </w:p>
    <w:p w14:paraId="5362BF3E" w14:textId="4186A770" w:rsidR="00D002D6" w:rsidRDefault="00D002D6">
      <w:pPr>
        <w:pStyle w:val="TOC2"/>
        <w:rPr>
          <w:rFonts w:asciiTheme="minorHAnsi" w:eastAsiaTheme="minorEastAsia" w:hAnsiTheme="minorHAnsi" w:cstheme="minorBidi"/>
          <w:noProof/>
          <w:sz w:val="22"/>
        </w:rPr>
      </w:pPr>
      <w:r>
        <w:rPr>
          <w:noProof/>
        </w:rPr>
        <w:t>4.  Increased world hunger</w:t>
      </w:r>
      <w:r>
        <w:rPr>
          <w:noProof/>
        </w:rPr>
        <w:tab/>
      </w:r>
      <w:r>
        <w:rPr>
          <w:noProof/>
        </w:rPr>
        <w:fldChar w:fldCharType="begin"/>
      </w:r>
      <w:r>
        <w:rPr>
          <w:noProof/>
        </w:rPr>
        <w:instrText xml:space="preserve"> PAGEREF _Toc23538971 \h </w:instrText>
      </w:r>
      <w:r>
        <w:rPr>
          <w:noProof/>
        </w:rPr>
      </w:r>
      <w:r>
        <w:rPr>
          <w:noProof/>
        </w:rPr>
        <w:fldChar w:fldCharType="separate"/>
      </w:r>
      <w:r>
        <w:rPr>
          <w:noProof/>
        </w:rPr>
        <w:t>8</w:t>
      </w:r>
      <w:r>
        <w:rPr>
          <w:noProof/>
        </w:rPr>
        <w:fldChar w:fldCharType="end"/>
      </w:r>
    </w:p>
    <w:p w14:paraId="0E4F8305" w14:textId="643DB19B" w:rsidR="00D002D6" w:rsidRDefault="00D002D6">
      <w:pPr>
        <w:pStyle w:val="TOC3"/>
        <w:rPr>
          <w:rFonts w:asciiTheme="minorHAnsi" w:eastAsiaTheme="minorEastAsia" w:hAnsiTheme="minorHAnsi" w:cstheme="minorBidi"/>
          <w:noProof/>
          <w:sz w:val="22"/>
        </w:rPr>
      </w:pPr>
      <w:r>
        <w:rPr>
          <w:noProof/>
        </w:rPr>
        <w:t>Link:  AFF claims to reduce atmospheric CO2</w:t>
      </w:r>
      <w:r>
        <w:rPr>
          <w:noProof/>
        </w:rPr>
        <w:tab/>
      </w:r>
      <w:r>
        <w:rPr>
          <w:noProof/>
        </w:rPr>
        <w:fldChar w:fldCharType="begin"/>
      </w:r>
      <w:r>
        <w:rPr>
          <w:noProof/>
        </w:rPr>
        <w:instrText xml:space="preserve"> PAGEREF _Toc23538972 \h </w:instrText>
      </w:r>
      <w:r>
        <w:rPr>
          <w:noProof/>
        </w:rPr>
      </w:r>
      <w:r>
        <w:rPr>
          <w:noProof/>
        </w:rPr>
        <w:fldChar w:fldCharType="separate"/>
      </w:r>
      <w:r>
        <w:rPr>
          <w:noProof/>
        </w:rPr>
        <w:t>8</w:t>
      </w:r>
      <w:r>
        <w:rPr>
          <w:noProof/>
        </w:rPr>
        <w:fldChar w:fldCharType="end"/>
      </w:r>
    </w:p>
    <w:p w14:paraId="1B6213F6" w14:textId="2BE3CA5A" w:rsidR="00D002D6" w:rsidRDefault="00D002D6">
      <w:pPr>
        <w:pStyle w:val="TOC3"/>
        <w:rPr>
          <w:rFonts w:asciiTheme="minorHAnsi" w:eastAsiaTheme="minorEastAsia" w:hAnsiTheme="minorHAnsi" w:cstheme="minorBidi"/>
          <w:noProof/>
          <w:sz w:val="22"/>
        </w:rPr>
      </w:pPr>
      <w:r>
        <w:rPr>
          <w:noProof/>
        </w:rPr>
        <w:t>Link:  Increased CO2 would grow more crops that could feed more of the growing world population</w:t>
      </w:r>
      <w:r>
        <w:rPr>
          <w:noProof/>
        </w:rPr>
        <w:tab/>
      </w:r>
      <w:r>
        <w:rPr>
          <w:noProof/>
        </w:rPr>
        <w:fldChar w:fldCharType="begin"/>
      </w:r>
      <w:r>
        <w:rPr>
          <w:noProof/>
        </w:rPr>
        <w:instrText xml:space="preserve"> PAGEREF _Toc23538973 \h </w:instrText>
      </w:r>
      <w:r>
        <w:rPr>
          <w:noProof/>
        </w:rPr>
      </w:r>
      <w:r>
        <w:rPr>
          <w:noProof/>
        </w:rPr>
        <w:fldChar w:fldCharType="separate"/>
      </w:r>
      <w:r>
        <w:rPr>
          <w:noProof/>
        </w:rPr>
        <w:t>8</w:t>
      </w:r>
      <w:r>
        <w:rPr>
          <w:noProof/>
        </w:rPr>
        <w:fldChar w:fldCharType="end"/>
      </w:r>
    </w:p>
    <w:p w14:paraId="1CA4803D" w14:textId="0306E382" w:rsidR="00D002D6" w:rsidRDefault="00D002D6">
      <w:pPr>
        <w:pStyle w:val="TOC3"/>
        <w:rPr>
          <w:rFonts w:asciiTheme="minorHAnsi" w:eastAsiaTheme="minorEastAsia" w:hAnsiTheme="minorHAnsi" w:cstheme="minorBidi"/>
          <w:noProof/>
          <w:sz w:val="22"/>
        </w:rPr>
      </w:pPr>
      <w:r>
        <w:rPr>
          <w:noProof/>
        </w:rPr>
        <w:t>Link/Brink:  Hundreds of millions are on the brink of starving globally if we don’t dramatically increase food production</w:t>
      </w:r>
      <w:r>
        <w:rPr>
          <w:noProof/>
        </w:rPr>
        <w:tab/>
      </w:r>
      <w:r>
        <w:rPr>
          <w:noProof/>
        </w:rPr>
        <w:fldChar w:fldCharType="begin"/>
      </w:r>
      <w:r>
        <w:rPr>
          <w:noProof/>
        </w:rPr>
        <w:instrText xml:space="preserve"> PAGEREF _Toc23538974 \h </w:instrText>
      </w:r>
      <w:r>
        <w:rPr>
          <w:noProof/>
        </w:rPr>
      </w:r>
      <w:r>
        <w:rPr>
          <w:noProof/>
        </w:rPr>
        <w:fldChar w:fldCharType="separate"/>
      </w:r>
      <w:r>
        <w:rPr>
          <w:noProof/>
        </w:rPr>
        <w:t>8</w:t>
      </w:r>
      <w:r>
        <w:rPr>
          <w:noProof/>
        </w:rPr>
        <w:fldChar w:fldCharType="end"/>
      </w:r>
    </w:p>
    <w:p w14:paraId="6DD85CA7" w14:textId="3CCC2B8B" w:rsidR="00D002D6" w:rsidRDefault="00D002D6">
      <w:pPr>
        <w:pStyle w:val="TOC3"/>
        <w:rPr>
          <w:rFonts w:asciiTheme="minorHAnsi" w:eastAsiaTheme="minorEastAsia" w:hAnsiTheme="minorHAnsi" w:cstheme="minorBidi"/>
          <w:noProof/>
          <w:sz w:val="22"/>
        </w:rPr>
      </w:pPr>
      <w:r>
        <w:rPr>
          <w:noProof/>
        </w:rPr>
        <w:t>Impact:  Food shortages, political instability, social unrest, extremism, conflict.</w:t>
      </w:r>
      <w:r>
        <w:rPr>
          <w:noProof/>
        </w:rPr>
        <w:tab/>
      </w:r>
      <w:r>
        <w:rPr>
          <w:noProof/>
        </w:rPr>
        <w:fldChar w:fldCharType="begin"/>
      </w:r>
      <w:r>
        <w:rPr>
          <w:noProof/>
        </w:rPr>
        <w:instrText xml:space="preserve"> PAGEREF _Toc23538975 \h </w:instrText>
      </w:r>
      <w:r>
        <w:rPr>
          <w:noProof/>
        </w:rPr>
      </w:r>
      <w:r>
        <w:rPr>
          <w:noProof/>
        </w:rPr>
        <w:fldChar w:fldCharType="separate"/>
      </w:r>
      <w:r>
        <w:rPr>
          <w:noProof/>
        </w:rPr>
        <w:t>9</w:t>
      </w:r>
      <w:r>
        <w:rPr>
          <w:noProof/>
        </w:rPr>
        <w:fldChar w:fldCharType="end"/>
      </w:r>
    </w:p>
    <w:p w14:paraId="20677139" w14:textId="55AFD84F" w:rsidR="00D002D6" w:rsidRDefault="00D002D6">
      <w:pPr>
        <w:pStyle w:val="TOC2"/>
        <w:rPr>
          <w:rFonts w:asciiTheme="minorHAnsi" w:eastAsiaTheme="minorEastAsia" w:hAnsiTheme="minorHAnsi" w:cstheme="minorBidi"/>
          <w:noProof/>
          <w:sz w:val="22"/>
        </w:rPr>
      </w:pPr>
      <w:r>
        <w:rPr>
          <w:noProof/>
        </w:rPr>
        <w:t>5.   Increased Russian influence</w:t>
      </w:r>
      <w:r>
        <w:rPr>
          <w:noProof/>
        </w:rPr>
        <w:tab/>
      </w:r>
      <w:r>
        <w:rPr>
          <w:noProof/>
        </w:rPr>
        <w:fldChar w:fldCharType="begin"/>
      </w:r>
      <w:r>
        <w:rPr>
          <w:noProof/>
        </w:rPr>
        <w:instrText xml:space="preserve"> PAGEREF _Toc23538976 \h </w:instrText>
      </w:r>
      <w:r>
        <w:rPr>
          <w:noProof/>
        </w:rPr>
      </w:r>
      <w:r>
        <w:rPr>
          <w:noProof/>
        </w:rPr>
        <w:fldChar w:fldCharType="separate"/>
      </w:r>
      <w:r>
        <w:rPr>
          <w:noProof/>
        </w:rPr>
        <w:t>9</w:t>
      </w:r>
      <w:r>
        <w:rPr>
          <w:noProof/>
        </w:rPr>
        <w:fldChar w:fldCharType="end"/>
      </w:r>
    </w:p>
    <w:p w14:paraId="3B6F699B" w14:textId="3D05C6B6" w:rsidR="00D002D6" w:rsidRDefault="00D002D6">
      <w:pPr>
        <w:pStyle w:val="TOC3"/>
        <w:rPr>
          <w:rFonts w:asciiTheme="minorHAnsi" w:eastAsiaTheme="minorEastAsia" w:hAnsiTheme="minorHAnsi" w:cstheme="minorBidi"/>
          <w:noProof/>
          <w:sz w:val="22"/>
        </w:rPr>
      </w:pPr>
      <w:r>
        <w:rPr>
          <w:noProof/>
        </w:rPr>
        <w:t>Link:  AFF decreases US gas production</w:t>
      </w:r>
      <w:r>
        <w:rPr>
          <w:noProof/>
        </w:rPr>
        <w:tab/>
      </w:r>
      <w:r>
        <w:rPr>
          <w:noProof/>
        </w:rPr>
        <w:fldChar w:fldCharType="begin"/>
      </w:r>
      <w:r>
        <w:rPr>
          <w:noProof/>
        </w:rPr>
        <w:instrText xml:space="preserve"> PAGEREF _Toc23538977 \h </w:instrText>
      </w:r>
      <w:r>
        <w:rPr>
          <w:noProof/>
        </w:rPr>
      </w:r>
      <w:r>
        <w:rPr>
          <w:noProof/>
        </w:rPr>
        <w:fldChar w:fldCharType="separate"/>
      </w:r>
      <w:r>
        <w:rPr>
          <w:noProof/>
        </w:rPr>
        <w:t>9</w:t>
      </w:r>
      <w:r>
        <w:rPr>
          <w:noProof/>
        </w:rPr>
        <w:fldChar w:fldCharType="end"/>
      </w:r>
    </w:p>
    <w:p w14:paraId="3C33273E" w14:textId="1384D79D" w:rsidR="00D002D6" w:rsidRDefault="00D002D6">
      <w:pPr>
        <w:pStyle w:val="TOC3"/>
        <w:rPr>
          <w:rFonts w:asciiTheme="minorHAnsi" w:eastAsiaTheme="minorEastAsia" w:hAnsiTheme="minorHAnsi" w:cstheme="minorBidi"/>
          <w:noProof/>
          <w:sz w:val="22"/>
        </w:rPr>
      </w:pPr>
      <w:r>
        <w:rPr>
          <w:noProof/>
        </w:rPr>
        <w:lastRenderedPageBreak/>
        <w:t>Link:  Russia uses its natural gas exports to coerce our allies</w:t>
      </w:r>
      <w:r>
        <w:rPr>
          <w:noProof/>
        </w:rPr>
        <w:tab/>
      </w:r>
      <w:r>
        <w:rPr>
          <w:noProof/>
        </w:rPr>
        <w:fldChar w:fldCharType="begin"/>
      </w:r>
      <w:r>
        <w:rPr>
          <w:noProof/>
        </w:rPr>
        <w:instrText xml:space="preserve"> PAGEREF _Toc23538978 \h </w:instrText>
      </w:r>
      <w:r>
        <w:rPr>
          <w:noProof/>
        </w:rPr>
      </w:r>
      <w:r>
        <w:rPr>
          <w:noProof/>
        </w:rPr>
        <w:fldChar w:fldCharType="separate"/>
      </w:r>
      <w:r>
        <w:rPr>
          <w:noProof/>
        </w:rPr>
        <w:t>9</w:t>
      </w:r>
      <w:r>
        <w:rPr>
          <w:noProof/>
        </w:rPr>
        <w:fldChar w:fldCharType="end"/>
      </w:r>
    </w:p>
    <w:p w14:paraId="11753763" w14:textId="1AF55891" w:rsidR="00D002D6" w:rsidRDefault="00D002D6">
      <w:pPr>
        <w:pStyle w:val="TOC3"/>
        <w:rPr>
          <w:rFonts w:asciiTheme="minorHAnsi" w:eastAsiaTheme="minorEastAsia" w:hAnsiTheme="minorHAnsi" w:cstheme="minorBidi"/>
          <w:noProof/>
          <w:sz w:val="22"/>
        </w:rPr>
      </w:pPr>
      <w:r>
        <w:rPr>
          <w:noProof/>
        </w:rPr>
        <w:t>Link:  Exporting more US natural gas decreases European reliance on Russia</w:t>
      </w:r>
      <w:r>
        <w:rPr>
          <w:noProof/>
        </w:rPr>
        <w:tab/>
      </w:r>
      <w:r>
        <w:rPr>
          <w:noProof/>
        </w:rPr>
        <w:fldChar w:fldCharType="begin"/>
      </w:r>
      <w:r>
        <w:rPr>
          <w:noProof/>
        </w:rPr>
        <w:instrText xml:space="preserve"> PAGEREF _Toc23538979 \h </w:instrText>
      </w:r>
      <w:r>
        <w:rPr>
          <w:noProof/>
        </w:rPr>
      </w:r>
      <w:r>
        <w:rPr>
          <w:noProof/>
        </w:rPr>
        <w:fldChar w:fldCharType="separate"/>
      </w:r>
      <w:r>
        <w:rPr>
          <w:noProof/>
        </w:rPr>
        <w:t>9</w:t>
      </w:r>
      <w:r>
        <w:rPr>
          <w:noProof/>
        </w:rPr>
        <w:fldChar w:fldCharType="end"/>
      </w:r>
    </w:p>
    <w:p w14:paraId="58DA9DD7" w14:textId="11485B99" w:rsidR="00D002D6" w:rsidRDefault="00D002D6">
      <w:pPr>
        <w:pStyle w:val="TOC3"/>
        <w:rPr>
          <w:rFonts w:asciiTheme="minorHAnsi" w:eastAsiaTheme="minorEastAsia" w:hAnsiTheme="minorHAnsi" w:cstheme="minorBidi"/>
          <w:noProof/>
          <w:sz w:val="22"/>
        </w:rPr>
      </w:pPr>
      <w:r>
        <w:rPr>
          <w:noProof/>
        </w:rPr>
        <w:t>The Impact:  Increased Russian influence risks big international impacts in lives and treasure</w:t>
      </w:r>
      <w:r>
        <w:rPr>
          <w:noProof/>
        </w:rPr>
        <w:tab/>
      </w:r>
      <w:r>
        <w:rPr>
          <w:noProof/>
        </w:rPr>
        <w:fldChar w:fldCharType="begin"/>
      </w:r>
      <w:r>
        <w:rPr>
          <w:noProof/>
        </w:rPr>
        <w:instrText xml:space="preserve"> PAGEREF _Toc23538980 \h </w:instrText>
      </w:r>
      <w:r>
        <w:rPr>
          <w:noProof/>
        </w:rPr>
      </w:r>
      <w:r>
        <w:rPr>
          <w:noProof/>
        </w:rPr>
        <w:fldChar w:fldCharType="separate"/>
      </w:r>
      <w:r>
        <w:rPr>
          <w:noProof/>
        </w:rPr>
        <w:t>10</w:t>
      </w:r>
      <w:r>
        <w:rPr>
          <w:noProof/>
        </w:rPr>
        <w:fldChar w:fldCharType="end"/>
      </w:r>
    </w:p>
    <w:p w14:paraId="55E628E1" w14:textId="1B3B0213" w:rsidR="00D002D6" w:rsidRDefault="00D002D6">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_Toc23538981 \h </w:instrText>
      </w:r>
      <w:r>
        <w:rPr>
          <w:noProof/>
        </w:rPr>
      </w:r>
      <w:r>
        <w:rPr>
          <w:noProof/>
        </w:rPr>
        <w:fldChar w:fldCharType="separate"/>
      </w:r>
      <w:r>
        <w:rPr>
          <w:noProof/>
        </w:rPr>
        <w:t>11</w:t>
      </w:r>
      <w:r>
        <w:rPr>
          <w:noProof/>
        </w:rPr>
        <w:fldChar w:fldCharType="end"/>
      </w:r>
    </w:p>
    <w:p w14:paraId="5D7F073C" w14:textId="04E1C0A2" w:rsidR="00D462AA" w:rsidRDefault="00DA2F2D" w:rsidP="00303BC4">
      <w:pPr>
        <w:pStyle w:val="Title2"/>
      </w:pPr>
      <w:r>
        <w:rPr>
          <w:sz w:val="22"/>
        </w:rPr>
        <w:lastRenderedPageBreak/>
        <w:fldChar w:fldCharType="end"/>
      </w:r>
      <w:bookmarkStart w:id="1" w:name="_Toc23538942"/>
      <w:r w:rsidR="004B0B9A">
        <w:t>Negative</w:t>
      </w:r>
      <w:r w:rsidR="008C6A37">
        <w:t xml:space="preserve">: </w:t>
      </w:r>
      <w:r w:rsidR="0070408C">
        <w:t>Fossil Fuel Subsidies – not a problem</w:t>
      </w:r>
      <w:bookmarkEnd w:id="1"/>
    </w:p>
    <w:p w14:paraId="3E2DEFC7" w14:textId="35861B6E" w:rsidR="008561FC" w:rsidRDefault="008561FC" w:rsidP="00EE1E8E">
      <w:pPr>
        <w:pStyle w:val="Contention1"/>
      </w:pPr>
      <w:bookmarkStart w:id="2" w:name="_Toc23538943"/>
      <w:r>
        <w:t>INHERENCY</w:t>
      </w:r>
      <w:bookmarkEnd w:id="2"/>
    </w:p>
    <w:p w14:paraId="590A6D1E" w14:textId="15A552E3" w:rsidR="001E34BC" w:rsidRDefault="0070408C" w:rsidP="0070408C">
      <w:pPr>
        <w:pStyle w:val="Contention2"/>
      </w:pPr>
      <w:bookmarkStart w:id="3" w:name="_Toc23538944"/>
      <w:r>
        <w:t xml:space="preserve">Renewable Fuel Mandates:  On balance there is no fossil fuel subsidy.  They’re forced to subsidize </w:t>
      </w:r>
      <w:r w:rsidRPr="0070408C">
        <w:rPr>
          <w:u w:val="single"/>
        </w:rPr>
        <w:t>other</w:t>
      </w:r>
      <w:r>
        <w:t xml:space="preserve"> sources of energy</w:t>
      </w:r>
      <w:bookmarkEnd w:id="3"/>
    </w:p>
    <w:p w14:paraId="1A3AB123" w14:textId="19431FBF" w:rsidR="001E34BC" w:rsidRDefault="001E34BC" w:rsidP="001E34BC">
      <w:pPr>
        <w:pStyle w:val="Citation3"/>
      </w:pPr>
      <w:r w:rsidRPr="0070408C">
        <w:rPr>
          <w:rStyle w:val="Emphasis"/>
          <w:i/>
          <w:iCs w:val="0"/>
          <w:u w:val="single"/>
        </w:rPr>
        <w:t>Brian Potts 2016</w:t>
      </w:r>
      <w:r w:rsidRPr="001E34BC">
        <w:rPr>
          <w:rStyle w:val="Emphasis"/>
          <w:i/>
          <w:iCs w:val="0"/>
        </w:rPr>
        <w:t xml:space="preserve"> (partner in the Environment, Energy, and Resources Practice Group at the international law firm Perkins Coie LLP; has published articles on energy and environmental issues in law journals published by Yale, Harvard, N.Y.U., and Berkeley</w:t>
      </w:r>
      <w:r>
        <w:rPr>
          <w:rStyle w:val="Emphasis"/>
          <w:i/>
          <w:iCs w:val="0"/>
        </w:rPr>
        <w:t xml:space="preserve">)  </w:t>
      </w:r>
      <w:hyperlink r:id="rId8" w:history="1">
        <w:r>
          <w:rPr>
            <w:rStyle w:val="Hyperlink"/>
          </w:rPr>
          <w:t>https://www.realclearenergy.org/articles/2016/10/23/debunking_the_fossil-fuel_subsidy_myth_110091.html</w:t>
        </w:r>
      </w:hyperlink>
    </w:p>
    <w:p w14:paraId="77DA4443" w14:textId="7F22A0D9" w:rsidR="0070408C" w:rsidRPr="0070408C" w:rsidRDefault="0070408C" w:rsidP="0070408C">
      <w:pPr>
        <w:pStyle w:val="Evidence"/>
      </w:pPr>
      <w:r w:rsidRPr="0070408C">
        <w:rPr>
          <w:u w:val="single"/>
        </w:rPr>
        <w:t>Each year the EPA requires gasoline and diesel refiners to blend a certain amount of renewable fuel (mainly corn ethanol and soybean-based biodiesel) into our fuel supply before sending it to gas pumps</w:t>
      </w:r>
      <w:r w:rsidRPr="0070408C">
        <w:t>. When this program was originally adopted back in 2005, the percentage of renewable fuel required to be blended into gasoline and diesel fuel was fairly low.  But under the Clean Air Act, the percentage has ramped up every year (this year it will be about 10%), and the percentage is slated to continue to go up until at least 2022. </w:t>
      </w:r>
      <w:r w:rsidRPr="0070408C">
        <w:rPr>
          <w:u w:val="single"/>
        </w:rPr>
        <w:t>By forcing the petroleum industry to blend so much renewable fuel every year, the EPA's program is impacting a huge transfer of wealth from petroleum companies to renewable fuel producers and the corn and soybean farmers providing those producers with the inputs necessary to make their renewable fuel.  In other words, on the whole, the fossil-fuel industry in this country isn't being subsidized; it's being forced to subsidize others</w:t>
      </w:r>
      <w:r w:rsidRPr="0070408C">
        <w:t>.</w:t>
      </w:r>
    </w:p>
    <w:p w14:paraId="29C87BEB" w14:textId="6814B1BE" w:rsidR="0070408C" w:rsidRDefault="002928F9" w:rsidP="002928F9">
      <w:pPr>
        <w:pStyle w:val="Contention2"/>
      </w:pPr>
      <w:bookmarkStart w:id="4" w:name="_Toc23538945"/>
      <w:r>
        <w:t>Factor in higher tax rates and there’s no net subsidy</w:t>
      </w:r>
      <w:bookmarkEnd w:id="4"/>
    </w:p>
    <w:p w14:paraId="571F11D3" w14:textId="77777777" w:rsidR="002928F9" w:rsidRPr="00D72283" w:rsidRDefault="002928F9" w:rsidP="002928F9">
      <w:pPr>
        <w:pStyle w:val="Citation3"/>
      </w:pPr>
      <w:r w:rsidRPr="00D72283">
        <w:rPr>
          <w:u w:val="single"/>
        </w:rPr>
        <w:t>Len Tesoro 2016</w:t>
      </w:r>
      <w:r w:rsidRPr="00D72283">
        <w:t xml:space="preserve"> (Director of Land Products at Drillinginfo) “Debunking Myths About Federal Oil &amp; Gas Subsidies” 22 Feb 2016 </w:t>
      </w:r>
      <w:hyperlink r:id="rId9" w:anchor="5f1a6c556e1c" w:history="1">
        <w:r w:rsidRPr="00D72283">
          <w:rPr>
            <w:rStyle w:val="Hyperlink"/>
            <w:color w:val="auto"/>
            <w:u w:val="none"/>
          </w:rPr>
          <w:t>https://www.forbes.com/sites/drillinginfo/2016/02/22/debunking-myths-about-federal-oil-gas-subsidies/#5f1a6c556e1c</w:t>
        </w:r>
      </w:hyperlink>
    </w:p>
    <w:p w14:paraId="7FE72102" w14:textId="79645E87" w:rsidR="002928F9" w:rsidRPr="002928F9" w:rsidRDefault="002928F9" w:rsidP="002928F9">
      <w:pPr>
        <w:pStyle w:val="Evidence"/>
      </w:pPr>
      <w:r w:rsidRPr="002928F9">
        <w:t>Now let’s analyze what the oil &amp; gas sector pays in taxes. In 2012 the top two corporations paying federal taxes in the US were ExxonMobil and </w:t>
      </w:r>
      <w:hyperlink r:id="rId10" w:tgtFrame="_self" w:history="1">
        <w:r w:rsidRPr="002928F9">
          <w:rPr>
            <w:rStyle w:val="Hyperlink"/>
            <w:color w:val="000000"/>
            <w:u w:val="none"/>
          </w:rPr>
          <w:t>Chevron</w:t>
        </w:r>
      </w:hyperlink>
      <w:r w:rsidRPr="002928F9">
        <w:t> paying a combined total of $45.2 billion. On average, the industry pays a 45% tax rate when all state, federal, and foreign taxes are totaled up. By comparison the Healthcare Industry pays a total rate of 35% and the Pharmaceuticals pay an estimated rate of 21%. Based upon these numbers it’s hard to believe which business sector is criticized the most for “subsidies”.</w:t>
      </w:r>
    </w:p>
    <w:p w14:paraId="7389042C" w14:textId="76DBB494" w:rsidR="008B5DB7" w:rsidRDefault="00C53C58" w:rsidP="00EE1E8E">
      <w:pPr>
        <w:pStyle w:val="Contention1"/>
      </w:pPr>
      <w:bookmarkStart w:id="5" w:name="_Toc23538946"/>
      <w:r>
        <w:t>HARMS / SIGNIFICANCE</w:t>
      </w:r>
      <w:bookmarkEnd w:id="5"/>
    </w:p>
    <w:p w14:paraId="65AB9B68" w14:textId="03039125" w:rsidR="002864C6" w:rsidRDefault="002864C6" w:rsidP="002864C6">
      <w:pPr>
        <w:pStyle w:val="Contention1"/>
      </w:pPr>
      <w:bookmarkStart w:id="6" w:name="_Toc23538947"/>
      <w:r>
        <w:t>1.  Tiny financial impact</w:t>
      </w:r>
      <w:bookmarkEnd w:id="6"/>
    </w:p>
    <w:p w14:paraId="3AE3E64C" w14:textId="351B76E9" w:rsidR="002864C6" w:rsidRDefault="002864C6" w:rsidP="002864C6">
      <w:pPr>
        <w:pStyle w:val="Contention2"/>
      </w:pPr>
      <w:bookmarkStart w:id="7" w:name="_Toc23538948"/>
      <w:r>
        <w:t>Tax breaks for US oil production are $4 billion/year</w:t>
      </w:r>
      <w:bookmarkEnd w:id="7"/>
    </w:p>
    <w:p w14:paraId="7B8649A0" w14:textId="77777777" w:rsidR="002864C6" w:rsidRPr="0070408C" w:rsidRDefault="002864C6" w:rsidP="002864C6">
      <w:pPr>
        <w:pStyle w:val="Citation3"/>
      </w:pPr>
      <w:r w:rsidRPr="0070408C">
        <w:rPr>
          <w:u w:val="single"/>
        </w:rPr>
        <w:t xml:space="preserve">Dr. </w:t>
      </w:r>
      <w:hyperlink r:id="rId11" w:history="1">
        <w:r w:rsidRPr="0070408C">
          <w:rPr>
            <w:rStyle w:val="Hyperlink"/>
            <w:color w:val="auto"/>
            <w:u w:val="single"/>
          </w:rPr>
          <w:t>Varun Sivaram</w:t>
        </w:r>
      </w:hyperlink>
      <w:r w:rsidRPr="0070408C">
        <w:rPr>
          <w:u w:val="single"/>
        </w:rPr>
        <w:t xml:space="preserve"> 2017</w:t>
      </w:r>
      <w:r w:rsidRPr="0070408C">
        <w:t xml:space="preserve"> (PhD physics; chief technology officer of India’s largest renewable energy company ) “No, Tax Breaks for U.S. Oil and Gas Companies Probably Don’t Materially Affect Climate Change” </w:t>
      </w:r>
      <w:r>
        <w:t xml:space="preserve"> 10 Oct 2017 </w:t>
      </w:r>
      <w:hyperlink r:id="rId12" w:history="1">
        <w:r w:rsidRPr="0070408C">
          <w:rPr>
            <w:rStyle w:val="Hyperlink"/>
            <w:color w:val="auto"/>
            <w:u w:val="none"/>
          </w:rPr>
          <w:t>https://www.cfr.org/blog/no-tax-breaks-us-oil-and-gas-companies-probably-dont-materially-affect-climate-change</w:t>
        </w:r>
      </w:hyperlink>
    </w:p>
    <w:p w14:paraId="01C8C112" w14:textId="667D7A69" w:rsidR="001E34BC" w:rsidRDefault="002864C6" w:rsidP="002864C6">
      <w:pPr>
        <w:pStyle w:val="Evidence"/>
      </w:pPr>
      <w:r w:rsidRPr="002864C6">
        <w:t xml:space="preserve">The two papers are in agreement that </w:t>
      </w:r>
      <w:r w:rsidRPr="002864C6">
        <w:rPr>
          <w:u w:val="single"/>
        </w:rPr>
        <w:t>there are three major tax breaks that oil companies get from the federal government that promote more U.S. oil production. The first allows firms to immediately expense “intangible drilling costs</w:t>
      </w:r>
      <w:r w:rsidRPr="002864C6">
        <w:t xml:space="preserve">” (IDCs), which account for the majority of drilling costs, rather than deducting them from their taxable income over several years. </w:t>
      </w:r>
      <w:r w:rsidRPr="002864C6">
        <w:rPr>
          <w:u w:val="single"/>
        </w:rPr>
        <w:t>The second tax break, percentage depletion, allows some oil companies to deduct a fixed percentage of their taxable income as costs</w:t>
      </w:r>
      <w:r w:rsidRPr="002864C6">
        <w:t xml:space="preserve"> rather than deducting the value of their reserves as they are depleted. </w:t>
      </w:r>
      <w:r w:rsidRPr="002864C6">
        <w:rPr>
          <w:u w:val="single"/>
        </w:rPr>
        <w:t>And the third tax break allows oil companies to write off a percentage of their income through the domestic manufacturing deduction. Together, these three tax breaks amount to around $4 billion in foregone government revenue annually</w:t>
      </w:r>
      <w:r w:rsidRPr="002864C6">
        <w:t>. (The </w:t>
      </w:r>
      <w:r w:rsidRPr="002864C6">
        <w:rPr>
          <w:rStyle w:val="Emphasis"/>
          <w:i w:val="0"/>
          <w:iCs w:val="0"/>
        </w:rPr>
        <w:t>Nature Energy </w:t>
      </w:r>
      <w:r w:rsidRPr="002864C6">
        <w:t>paper considers several other tax breaks but concludes that these three are the important ones.)</w:t>
      </w:r>
    </w:p>
    <w:p w14:paraId="2C03BA8D" w14:textId="62C84AA9" w:rsidR="002864C6" w:rsidRDefault="002864C6" w:rsidP="002864C6">
      <w:pPr>
        <w:pStyle w:val="Contention2"/>
      </w:pPr>
      <w:bookmarkStart w:id="8" w:name="_Toc23538949"/>
      <w:r>
        <w:lastRenderedPageBreak/>
        <w:t>Federal budget is $4.7 trillion.   Analysis:  $4 billion divided by $4.7 trillion = 0.085% of the federal budget</w:t>
      </w:r>
      <w:bookmarkEnd w:id="8"/>
    </w:p>
    <w:p w14:paraId="26186F2B" w14:textId="77777777" w:rsidR="002864C6" w:rsidRPr="00992859" w:rsidRDefault="002864C6" w:rsidP="002864C6">
      <w:pPr>
        <w:pStyle w:val="Citation3"/>
      </w:pPr>
      <w:r w:rsidRPr="00992859">
        <w:rPr>
          <w:u w:val="single"/>
        </w:rPr>
        <w:t>Kimberly Amadeo 2019</w:t>
      </w:r>
      <w:r w:rsidRPr="00992859">
        <w:t xml:space="preserve"> (20 years senior-level corporate experience in economic analysis and business strategy. M.S. in Management from the Sloan School of Business at M.I.T ) </w:t>
      </w:r>
      <w:hyperlink r:id="rId13" w:history="1">
        <w:r w:rsidRPr="00992859">
          <w:rPr>
            <w:rStyle w:val="Hyperlink"/>
            <w:color w:val="auto"/>
            <w:u w:val="none"/>
          </w:rPr>
          <w:t>https://www.thebalance.com/u-s-federal-budget-breakdown-3305789</w:t>
        </w:r>
      </w:hyperlink>
    </w:p>
    <w:p w14:paraId="126D8417" w14:textId="77777777" w:rsidR="002864C6" w:rsidRDefault="002864C6" w:rsidP="002864C6">
      <w:pPr>
        <w:pStyle w:val="Evidence"/>
      </w:pPr>
      <w:r w:rsidRPr="00992859">
        <w:t>On March 11, 2019, </w:t>
      </w:r>
      <w:hyperlink r:id="rId14" w:history="1">
        <w:r w:rsidRPr="00992859">
          <w:rPr>
            <w:rStyle w:val="Hyperlink"/>
            <w:color w:val="000000"/>
            <w:u w:val="none"/>
          </w:rPr>
          <w:t>President Donald Trump</w:t>
        </w:r>
      </w:hyperlink>
      <w:r w:rsidRPr="00992859">
        <w:t> released his budget request for </w:t>
      </w:r>
      <w:hyperlink r:id="rId15" w:history="1">
        <w:r w:rsidRPr="00992859">
          <w:rPr>
            <w:rStyle w:val="Hyperlink"/>
            <w:color w:val="000000"/>
            <w:u w:val="none"/>
          </w:rPr>
          <w:t>f</w:t>
        </w:r>
      </w:hyperlink>
      <w:hyperlink r:id="rId16" w:history="1">
        <w:r w:rsidRPr="00992859">
          <w:rPr>
            <w:rStyle w:val="Hyperlink"/>
            <w:color w:val="000000"/>
            <w:u w:val="none"/>
          </w:rPr>
          <w:t>iscal year</w:t>
        </w:r>
      </w:hyperlink>
      <w:r w:rsidRPr="00992859">
        <w:t> 2020. Under his proposal, the </w:t>
      </w:r>
      <w:hyperlink r:id="rId17" w:history="1">
        <w:r w:rsidRPr="00992859">
          <w:rPr>
            <w:rStyle w:val="Hyperlink"/>
            <w:color w:val="000000"/>
            <w:u w:val="none"/>
          </w:rPr>
          <w:t>federal budget</w:t>
        </w:r>
      </w:hyperlink>
      <w:r w:rsidRPr="00992859">
        <w:t> would be a record $4.746 trillion. </w:t>
      </w:r>
    </w:p>
    <w:p w14:paraId="3260D29A" w14:textId="78287ED7" w:rsidR="00D72283" w:rsidRDefault="00D72283" w:rsidP="00D72283">
      <w:pPr>
        <w:pStyle w:val="Contention1"/>
      </w:pPr>
      <w:bookmarkStart w:id="9" w:name="_Toc23538950"/>
      <w:r>
        <w:t>2.   They’re not subsidies</w:t>
      </w:r>
      <w:bookmarkEnd w:id="9"/>
    </w:p>
    <w:p w14:paraId="4496F551" w14:textId="06F5C76B" w:rsidR="00D72283" w:rsidRDefault="00D72283" w:rsidP="00D72283">
      <w:pPr>
        <w:pStyle w:val="Contention2"/>
      </w:pPr>
      <w:bookmarkStart w:id="10" w:name="_Toc23538951"/>
      <w:r>
        <w:t>The MLP “subsidy” is simply avoiding double taxation, just like other industries do</w:t>
      </w:r>
      <w:bookmarkEnd w:id="10"/>
    </w:p>
    <w:p w14:paraId="3051919C" w14:textId="0DB7E96E" w:rsidR="00D72283" w:rsidRPr="00D72283" w:rsidRDefault="00D72283" w:rsidP="00D72283">
      <w:pPr>
        <w:pStyle w:val="Citation3"/>
      </w:pPr>
      <w:r w:rsidRPr="00D72283">
        <w:rPr>
          <w:u w:val="single"/>
        </w:rPr>
        <w:t>Len Tesoro 2016</w:t>
      </w:r>
      <w:r w:rsidRPr="00D72283">
        <w:t xml:space="preserve"> (Director of Land Products at Drillinginfo) “Debunking Myths About Federal Oil &amp; Gas Subsidies” 22 Feb 2016 </w:t>
      </w:r>
      <w:hyperlink r:id="rId18" w:anchor="5f1a6c556e1c" w:history="1">
        <w:r w:rsidRPr="00D72283">
          <w:rPr>
            <w:rStyle w:val="Hyperlink"/>
            <w:color w:val="auto"/>
            <w:u w:val="none"/>
          </w:rPr>
          <w:t>https://www.forbes.com/sites/drillinginfo/2016/02/22/debunking-myths-about-federal-oil-gas-subsidies/#5f1a6c556e1c</w:t>
        </w:r>
      </w:hyperlink>
    </w:p>
    <w:p w14:paraId="5AF8FF27" w14:textId="57805E4C" w:rsidR="00D72283" w:rsidRDefault="00D72283" w:rsidP="00D72283">
      <w:pPr>
        <w:pStyle w:val="Evidence"/>
      </w:pPr>
      <w:r w:rsidRPr="00D72283">
        <w:rPr>
          <w:rStyle w:val="Strong"/>
          <w:b w:val="0"/>
          <w:bCs/>
          <w:u w:val="single"/>
        </w:rPr>
        <w:t>Master Limited Partnerships</w:t>
      </w:r>
      <w:r w:rsidRPr="00D72283">
        <w:rPr>
          <w:u w:val="single"/>
        </w:rPr>
        <w:t> ($3.9 billion “subsidy”) – Ending the MLP “subsidy” would result in MLP’s being considered corporations that must be taxed before their distributions are passed along to shareholders. Therefore, any MLP income would be taxed at the corporate level and then again at the dividend leve</w:t>
      </w:r>
      <w:r w:rsidRPr="00D72283">
        <w:t xml:space="preserve">l. Distributions to shareholders would be impacted substantially. </w:t>
      </w:r>
      <w:r w:rsidRPr="00D72283">
        <w:rPr>
          <w:u w:val="single"/>
        </w:rPr>
        <w:t>Preventing double taxation is not a subsidy. MLPs also exist for </w:t>
      </w:r>
      <w:hyperlink r:id="rId19" w:tgtFrame="_self" w:history="1">
        <w:r w:rsidRPr="00D72283">
          <w:rPr>
            <w:rStyle w:val="Hyperlink"/>
            <w:color w:val="000000"/>
            <w:u w:val="single"/>
          </w:rPr>
          <w:t>Real Estate</w:t>
        </w:r>
      </w:hyperlink>
      <w:r w:rsidRPr="00D72283">
        <w:rPr>
          <w:u w:val="single"/>
        </w:rPr>
        <w:t> and other industries. Furthermore, the “subsidy” affects people across the spectrum from Pensioners, 401k</w:t>
      </w:r>
      <w:r w:rsidRPr="00D72283">
        <w:t>s</w:t>
      </w:r>
      <w:r w:rsidRPr="00D72283">
        <w:rPr>
          <w:u w:val="single"/>
        </w:rPr>
        <w:t xml:space="preserve"> holders, to widows and orphans - hardly a “subsidy” for the oil and gas industry</w:t>
      </w:r>
      <w:r w:rsidRPr="00D72283">
        <w:t>.</w:t>
      </w:r>
    </w:p>
    <w:p w14:paraId="72AE6ED6" w14:textId="4D316016" w:rsidR="00D72283" w:rsidRDefault="00D72283" w:rsidP="00D72283">
      <w:pPr>
        <w:pStyle w:val="Contention2"/>
      </w:pPr>
      <w:bookmarkStart w:id="11" w:name="_Toc23538952"/>
      <w:r>
        <w:t>Intangible Drilling Cost (IDC) deductions are not a “subsidy”</w:t>
      </w:r>
      <w:bookmarkEnd w:id="11"/>
    </w:p>
    <w:p w14:paraId="58C5CB98" w14:textId="77777777" w:rsidR="00D72283" w:rsidRPr="00D72283" w:rsidRDefault="00D72283" w:rsidP="00D72283">
      <w:pPr>
        <w:pStyle w:val="Citation3"/>
      </w:pPr>
      <w:r w:rsidRPr="00D72283">
        <w:rPr>
          <w:u w:val="single"/>
        </w:rPr>
        <w:t>Len Tesoro 2016</w:t>
      </w:r>
      <w:r w:rsidRPr="00D72283">
        <w:t xml:space="preserve"> (Director of Land Products at Drillinginfo) “Debunking Myths About Federal Oil &amp; Gas Subsidies” 22 Feb 2016 </w:t>
      </w:r>
      <w:hyperlink r:id="rId20" w:anchor="5f1a6c556e1c" w:history="1">
        <w:r w:rsidRPr="00D72283">
          <w:rPr>
            <w:rStyle w:val="Hyperlink"/>
            <w:color w:val="auto"/>
            <w:u w:val="none"/>
          </w:rPr>
          <w:t>https://www.forbes.com/sites/drillinginfo/2016/02/22/debunking-myths-about-federal-oil-gas-subsidies/#5f1a6c556e1c</w:t>
        </w:r>
      </w:hyperlink>
    </w:p>
    <w:p w14:paraId="3A47C3C3" w14:textId="1FA540B0" w:rsidR="00D72283" w:rsidRDefault="00D72283" w:rsidP="00D72283">
      <w:pPr>
        <w:pStyle w:val="Evidence"/>
        <w:rPr>
          <w:shd w:val="clear" w:color="auto" w:fill="FCFCFC"/>
        </w:rPr>
      </w:pPr>
      <w:r>
        <w:rPr>
          <w:shd w:val="clear" w:color="auto" w:fill="FCFCFC"/>
        </w:rPr>
        <w:t>Intangible Drilling Costs are essentially the cost of drilling a new well that have no salvageable value. Currently, most exploration companies are allowed to deduct 100% of the costs in the year they are incurred with the majors able to deduct 70% of the costs immediately with the remaining 30% amortized over 5 years. In what world would money spent that may or may not be recovered be capitalized as an asset?</w:t>
      </w:r>
    </w:p>
    <w:p w14:paraId="21AF5F41" w14:textId="6DFA7A41" w:rsidR="00D72283" w:rsidRDefault="00D72283" w:rsidP="00D72283">
      <w:pPr>
        <w:pStyle w:val="Contention2"/>
      </w:pPr>
      <w:bookmarkStart w:id="12" w:name="_Toc23538953"/>
      <w:r>
        <w:t>Royalty Payment Reductions don’t matter – they still pay taxes</w:t>
      </w:r>
      <w:bookmarkEnd w:id="12"/>
    </w:p>
    <w:p w14:paraId="5C5AB5C8" w14:textId="77777777" w:rsidR="00D72283" w:rsidRPr="00D72283" w:rsidRDefault="00D72283" w:rsidP="00D72283">
      <w:pPr>
        <w:pStyle w:val="Citation3"/>
      </w:pPr>
      <w:r w:rsidRPr="00D72283">
        <w:rPr>
          <w:u w:val="single"/>
        </w:rPr>
        <w:t>Len Tesoro 2016</w:t>
      </w:r>
      <w:r w:rsidRPr="00D72283">
        <w:t xml:space="preserve"> (Director of Land Products at Drillinginfo) “Debunking Myths About Federal Oil &amp; Gas Subsidies” 22 Feb 2016 </w:t>
      </w:r>
      <w:hyperlink r:id="rId21" w:anchor="5f1a6c556e1c" w:history="1">
        <w:r w:rsidRPr="00D72283">
          <w:rPr>
            <w:rStyle w:val="Hyperlink"/>
            <w:color w:val="auto"/>
            <w:u w:val="none"/>
          </w:rPr>
          <w:t>https://www.forbes.com/sites/drillinginfo/2016/02/22/debunking-myths-about-federal-oil-gas-subsidies/#5f1a6c556e1c</w:t>
        </w:r>
      </w:hyperlink>
    </w:p>
    <w:p w14:paraId="72CE89BF" w14:textId="3C61FCA7" w:rsidR="00D72283" w:rsidRDefault="00D72283" w:rsidP="00D72283">
      <w:pPr>
        <w:pStyle w:val="Evidence"/>
      </w:pPr>
      <w:r w:rsidRPr="00D72283">
        <w:rPr>
          <w:rStyle w:val="Strong"/>
          <w:b w:val="0"/>
          <w:bCs/>
        </w:rPr>
        <w:t>Royalty Payment Reductions on Federal Lands</w:t>
      </w:r>
      <w:r w:rsidRPr="00D72283">
        <w:t> ($2.2 billion “subsidy”) While paying no royalties on some offshore plots and reduced royalties in some regions might be considered a break by many. The incomes derived from operations are taxed at the same levels as any other income - hardly a “subsidy”.</w:t>
      </w:r>
    </w:p>
    <w:p w14:paraId="16265EB9" w14:textId="740552DF" w:rsidR="00D72283" w:rsidRDefault="00D72283" w:rsidP="00D72283">
      <w:pPr>
        <w:pStyle w:val="Contention2"/>
      </w:pPr>
      <w:bookmarkStart w:id="13" w:name="_Toc23538954"/>
      <w:r>
        <w:t>Depletion Allowance – no different from deductions given to other companies</w:t>
      </w:r>
      <w:bookmarkEnd w:id="13"/>
    </w:p>
    <w:p w14:paraId="3E25B673" w14:textId="77777777" w:rsidR="00D72283" w:rsidRPr="00D72283" w:rsidRDefault="00D72283" w:rsidP="00D72283">
      <w:pPr>
        <w:pStyle w:val="Citation3"/>
      </w:pPr>
      <w:r w:rsidRPr="00D72283">
        <w:rPr>
          <w:u w:val="single"/>
        </w:rPr>
        <w:t>Len Tesoro 2016</w:t>
      </w:r>
      <w:r w:rsidRPr="00D72283">
        <w:t xml:space="preserve"> (Director of Land Products at Drillinginfo) “Debunking Myths About Federal Oil &amp; Gas Subsidies” 22 Feb 2016 </w:t>
      </w:r>
      <w:hyperlink r:id="rId22" w:anchor="5f1a6c556e1c" w:history="1">
        <w:r w:rsidRPr="00D72283">
          <w:rPr>
            <w:rStyle w:val="Hyperlink"/>
            <w:color w:val="auto"/>
            <w:u w:val="none"/>
          </w:rPr>
          <w:t>https://www.forbes.com/sites/drillinginfo/2016/02/22/debunking-myths-about-federal-oil-gas-subsidies/#5f1a6c556e1c</w:t>
        </w:r>
      </w:hyperlink>
    </w:p>
    <w:p w14:paraId="45899832" w14:textId="41D63CFB" w:rsidR="00D72283" w:rsidRDefault="00D72283" w:rsidP="00D72283">
      <w:pPr>
        <w:pStyle w:val="Evidence"/>
      </w:pPr>
      <w:r w:rsidRPr="00D72283">
        <w:t>The depletion allowance allows companies to treat reserves in the ground as a capitalized asset that may be written down by 15% per year. The government only allows the “subsidy” for independent producers. Integrated oil companies such as Exxon, </w:t>
      </w:r>
      <w:hyperlink r:id="rId23" w:tgtFrame="_self" w:history="1">
        <w:r w:rsidRPr="00D72283">
          <w:rPr>
            <w:rStyle w:val="Hyperlink"/>
            <w:color w:val="000000"/>
            <w:u w:val="none"/>
          </w:rPr>
          <w:t>BP</w:t>
        </w:r>
      </w:hyperlink>
      <w:r w:rsidRPr="00D72283">
        <w:t> etc. are not allowed the exemption. Companies across the US are allowed a depreciation deduction for taxation purposes. The oil &amp; gas industry should not be an exception.</w:t>
      </w:r>
    </w:p>
    <w:p w14:paraId="52EE529B" w14:textId="66B92019" w:rsidR="00D72283" w:rsidRDefault="007E61BA" w:rsidP="00D72283">
      <w:pPr>
        <w:pStyle w:val="Contention2"/>
      </w:pPr>
      <w:bookmarkStart w:id="14" w:name="_Toc23538955"/>
      <w:r>
        <w:lastRenderedPageBreak/>
        <w:t>Domestic Manufacturing Deduction – covers multiple business segments, not just oil &amp; gas</w:t>
      </w:r>
      <w:bookmarkEnd w:id="14"/>
    </w:p>
    <w:p w14:paraId="2A250BAF" w14:textId="77777777" w:rsidR="00D72283" w:rsidRPr="00D72283" w:rsidRDefault="00D72283" w:rsidP="00D72283">
      <w:pPr>
        <w:pStyle w:val="Citation3"/>
      </w:pPr>
      <w:r w:rsidRPr="00D72283">
        <w:rPr>
          <w:u w:val="single"/>
        </w:rPr>
        <w:t>Len Tesoro 2016</w:t>
      </w:r>
      <w:r w:rsidRPr="00D72283">
        <w:t xml:space="preserve"> (Director of Land Products at Drillinginfo) “Debunking Myths About Federal Oil &amp; Gas Subsidies” 22 Feb 2016 </w:t>
      </w:r>
      <w:hyperlink r:id="rId24" w:anchor="5f1a6c556e1c" w:history="1">
        <w:r w:rsidRPr="00D72283">
          <w:rPr>
            <w:rStyle w:val="Hyperlink"/>
            <w:color w:val="auto"/>
            <w:u w:val="none"/>
          </w:rPr>
          <w:t>https://www.forbes.com/sites/drillinginfo/2016/02/22/debunking-myths-about-federal-oil-gas-subsidies/#5f1a6c556e1c</w:t>
        </w:r>
      </w:hyperlink>
    </w:p>
    <w:p w14:paraId="15CB3B05" w14:textId="7272587F" w:rsidR="00D72283" w:rsidRDefault="00D72283" w:rsidP="00D72283">
      <w:pPr>
        <w:pStyle w:val="Evidence"/>
        <w:rPr>
          <w:u w:val="single"/>
        </w:rPr>
      </w:pPr>
      <w:r w:rsidRPr="007E61BA">
        <w:rPr>
          <w:rStyle w:val="Strong"/>
          <w:b w:val="0"/>
          <w:bCs/>
          <w:u w:val="single"/>
        </w:rPr>
        <w:t>Domestic Manufacturing Deduction</w:t>
      </w:r>
      <w:r w:rsidRPr="00D72283">
        <w:t xml:space="preserve"> ($1.7 billion per year – low estimate is $574 million) – Congress passed the tax break in 2004 </w:t>
      </w:r>
      <w:r w:rsidRPr="007E61BA">
        <w:rPr>
          <w:u w:val="single"/>
        </w:rPr>
        <w:t>to encourage manufacturing companies to maintain their operations in the US. The tax break has been extended to oil &amp; gas companies and allows them to deduct 9% of their income from operations</w:t>
      </w:r>
      <w:r w:rsidRPr="00D72283">
        <w:t xml:space="preserve">. Critics charge that companies would not leave for a lower tax rate. Ever looked at how much cheaper it would be to operate a refinery in another country? Furthermore, </w:t>
      </w:r>
      <w:r w:rsidRPr="007E61BA">
        <w:rPr>
          <w:u w:val="single"/>
        </w:rPr>
        <w:t>the tax break extends to companies across multiple business segments – not just the oil &amp; gas sector.</w:t>
      </w:r>
    </w:p>
    <w:p w14:paraId="27B9FF5E" w14:textId="2B0BF90D" w:rsidR="007E61BA" w:rsidRDefault="007E61BA" w:rsidP="007E61BA">
      <w:pPr>
        <w:pStyle w:val="Contention2"/>
      </w:pPr>
      <w:bookmarkStart w:id="15" w:name="_Toc23538956"/>
      <w:r>
        <w:t>Foreign Tax Credit – applies to any corporation doing business outside the US, not just oil &amp; gas</w:t>
      </w:r>
      <w:bookmarkEnd w:id="15"/>
    </w:p>
    <w:p w14:paraId="27EC8DD2" w14:textId="77777777" w:rsidR="007E61BA" w:rsidRPr="00D72283" w:rsidRDefault="007E61BA" w:rsidP="007E61BA">
      <w:pPr>
        <w:pStyle w:val="Citation3"/>
      </w:pPr>
      <w:r w:rsidRPr="00D72283">
        <w:rPr>
          <w:u w:val="single"/>
        </w:rPr>
        <w:t>Len Tesoro 2016</w:t>
      </w:r>
      <w:r w:rsidRPr="00D72283">
        <w:t xml:space="preserve"> (Director of Land Products at Drillinginfo) “Debunking Myths About Federal Oil &amp; Gas Subsidies” 22 Feb 2016 </w:t>
      </w:r>
      <w:hyperlink r:id="rId25" w:anchor="5f1a6c556e1c" w:history="1">
        <w:r w:rsidRPr="00D72283">
          <w:rPr>
            <w:rStyle w:val="Hyperlink"/>
            <w:color w:val="auto"/>
            <w:u w:val="none"/>
          </w:rPr>
          <w:t>https://www.forbes.com/sites/drillinginfo/2016/02/22/debunking-myths-about-federal-oil-gas-subsidies/#5f1a6c556e1c</w:t>
        </w:r>
      </w:hyperlink>
    </w:p>
    <w:p w14:paraId="360BEC5B" w14:textId="4C864FEA" w:rsidR="007E61BA" w:rsidRDefault="007E61BA" w:rsidP="007E61BA">
      <w:pPr>
        <w:pStyle w:val="Evidence"/>
      </w:pPr>
      <w:r w:rsidRPr="007E61BA">
        <w:rPr>
          <w:rStyle w:val="Strong"/>
          <w:b w:val="0"/>
          <w:bCs/>
        </w:rPr>
        <w:t>Foreign Tax Credit</w:t>
      </w:r>
      <w:r w:rsidRPr="007E61BA">
        <w:t> ($900 million) The tax break allows US companies to deduct taxes paid in foreign countries from profits when the money is returned to the US. Of all the tax breaks, calling the Foreign Tax Credit a subsidy for the oil &amp; gas industry has to be the most egregious. The US Federal Government allows any corporation doing business outside of the US the same exception.</w:t>
      </w:r>
    </w:p>
    <w:p w14:paraId="57B49C33" w14:textId="3B8010EB" w:rsidR="00C24EAB" w:rsidRDefault="00C24EAB" w:rsidP="00C24EAB">
      <w:pPr>
        <w:pStyle w:val="Contention1"/>
      </w:pPr>
      <w:bookmarkStart w:id="16" w:name="_Toc23538957"/>
      <w:r>
        <w:t>3.  Tiny compared to subsidies for non-fossil energy</w:t>
      </w:r>
      <w:bookmarkEnd w:id="16"/>
    </w:p>
    <w:p w14:paraId="3B15E33C" w14:textId="42AAB9E9" w:rsidR="00C24EAB" w:rsidRDefault="00C24EAB" w:rsidP="00C24EAB">
      <w:pPr>
        <w:pStyle w:val="Contention2"/>
      </w:pPr>
      <w:bookmarkStart w:id="17" w:name="_Toc23538958"/>
      <w:r>
        <w:t>Non-fossil fuel energy gets 14 times more subsidies</w:t>
      </w:r>
      <w:bookmarkEnd w:id="17"/>
    </w:p>
    <w:p w14:paraId="2999E425" w14:textId="36E78974" w:rsidR="00C24EAB" w:rsidRPr="00C24EAB" w:rsidRDefault="00C24EAB" w:rsidP="00C24EAB">
      <w:pPr>
        <w:pStyle w:val="Citation3"/>
      </w:pPr>
      <w:r w:rsidRPr="00C24EAB">
        <w:rPr>
          <w:u w:val="single"/>
        </w:rPr>
        <w:t>Institute for Energy Research 2019</w:t>
      </w:r>
      <w:r w:rsidRPr="00C24EAB">
        <w:t xml:space="preserve"> (non-profit organization that conducts research and analysis on the functions, operations, and government regulation of global energy markets) 9 Jan 2019 “Fossil Fuels Dominate U.S. Energy Production, But Receive a Small Percentage of Federal Fuel Subsidies” </w:t>
      </w:r>
      <w:hyperlink r:id="rId26" w:history="1">
        <w:r w:rsidRPr="00C24EAB">
          <w:rPr>
            <w:rStyle w:val="Hyperlink"/>
            <w:color w:val="auto"/>
            <w:u w:val="none"/>
          </w:rPr>
          <w:t>https://www.instituteforenergyresearch.org/renewable/fossil-fuels-dominate-u-s-energy-production-but-receive-a-small-percentage-of-federal-fuel-subsidies/</w:t>
        </w:r>
      </w:hyperlink>
    </w:p>
    <w:p w14:paraId="624B5BD0" w14:textId="720FA4E5" w:rsidR="00C24EAB" w:rsidRPr="00C24EAB" w:rsidRDefault="00C24EAB" w:rsidP="00C24EAB">
      <w:pPr>
        <w:pStyle w:val="Evidence"/>
      </w:pPr>
      <w:r w:rsidRPr="00C24EAB">
        <w:t xml:space="preserve">At the request of the Secretary of Energy, </w:t>
      </w:r>
      <w:r w:rsidRPr="00C24EAB">
        <w:rPr>
          <w:u w:val="single"/>
        </w:rPr>
        <w:t>the Energy Information Administration (EIA), an independent agency of the U.S. Department of Energy, </w:t>
      </w:r>
      <w:hyperlink r:id="rId27" w:history="1">
        <w:r w:rsidRPr="00C24EAB">
          <w:rPr>
            <w:rStyle w:val="Hyperlink"/>
            <w:color w:val="000000"/>
            <w:u w:val="single"/>
          </w:rPr>
          <w:t>evaluated the energy-related subsidies</w:t>
        </w:r>
      </w:hyperlink>
      <w:r w:rsidRPr="00C24EAB">
        <w:rPr>
          <w:u w:val="single"/>
        </w:rPr>
        <w:t> that the federal government provided in fiscal year 2016</w:t>
      </w:r>
      <w:r w:rsidRPr="00C24EAB">
        <w:t xml:space="preserve">, updating a study that it did for fiscal years 2013 and 2010. </w:t>
      </w:r>
      <w:r w:rsidRPr="00C24EAB">
        <w:rPr>
          <w:u w:val="single"/>
        </w:rPr>
        <w:t>Federal subsidies to support non-fossil fuels (renewable energy and nuclear power) in fiscal year 2016 totaled $7.047 billion</w:t>
      </w:r>
      <w:r w:rsidRPr="00C24EAB">
        <w:t xml:space="preserve"> (in 2016 dollars), </w:t>
      </w:r>
      <w:r w:rsidRPr="00C24EAB">
        <w:rPr>
          <w:u w:val="single"/>
        </w:rPr>
        <w:t>while those for fossil fuels totaled $489 million—higher by over a factor of 14, despite much higher production by fossil fuel producers.</w:t>
      </w:r>
      <w:r w:rsidRPr="00C24EAB">
        <w:t> </w:t>
      </w:r>
      <w:r w:rsidRPr="00C24EAB">
        <w:rPr>
          <w:rStyle w:val="Emphasis"/>
          <w:i w:val="0"/>
          <w:iCs w:val="0"/>
        </w:rPr>
        <w:t>The EIA noted that those subsidies do not include state and local subsidies, mandates, or incentives that in many cases are quite substantial, especially for renewable energy</w:t>
      </w:r>
      <w:r w:rsidRPr="00C24EAB">
        <w:t>.</w:t>
      </w:r>
    </w:p>
    <w:p w14:paraId="1F47E5B6" w14:textId="0E9FA82A" w:rsidR="008C6A37" w:rsidRDefault="004B0B9A" w:rsidP="00EE1E8E">
      <w:pPr>
        <w:pStyle w:val="Contention1"/>
      </w:pPr>
      <w:bookmarkStart w:id="18" w:name="_Toc23538959"/>
      <w:r>
        <w:lastRenderedPageBreak/>
        <w:t>SOLVENCY</w:t>
      </w:r>
      <w:bookmarkEnd w:id="18"/>
    </w:p>
    <w:p w14:paraId="1E02FEDE" w14:textId="255D2565" w:rsidR="00021077" w:rsidRDefault="00021077" w:rsidP="00EE1E8E">
      <w:pPr>
        <w:pStyle w:val="Contention1"/>
      </w:pPr>
      <w:bookmarkStart w:id="19" w:name="_Toc23538960"/>
      <w:r>
        <w:t>1.  Won’t reduce CO2</w:t>
      </w:r>
      <w:bookmarkEnd w:id="19"/>
    </w:p>
    <w:p w14:paraId="450D3CA2" w14:textId="77777777" w:rsidR="00021077" w:rsidRDefault="00021077" w:rsidP="00021077">
      <w:pPr>
        <w:pStyle w:val="Contention2"/>
      </w:pPr>
      <w:bookmarkStart w:id="20" w:name="_Toc23538961"/>
      <w:r>
        <w:t>Decrease in US oil production after AFF plan would be made up by increased foreign production, so no net climate emissions benefit</w:t>
      </w:r>
      <w:bookmarkEnd w:id="20"/>
    </w:p>
    <w:p w14:paraId="27DBF2B0" w14:textId="77777777" w:rsidR="00021077" w:rsidRPr="0070408C" w:rsidRDefault="00021077" w:rsidP="00021077">
      <w:pPr>
        <w:pStyle w:val="Citation3"/>
      </w:pPr>
      <w:r w:rsidRPr="0070408C">
        <w:rPr>
          <w:u w:val="single"/>
        </w:rPr>
        <w:t xml:space="preserve">Dr. </w:t>
      </w:r>
      <w:hyperlink r:id="rId28" w:history="1">
        <w:r w:rsidRPr="0070408C">
          <w:rPr>
            <w:rStyle w:val="Hyperlink"/>
            <w:color w:val="auto"/>
            <w:u w:val="single"/>
          </w:rPr>
          <w:t>Varun Sivaram</w:t>
        </w:r>
      </w:hyperlink>
      <w:r w:rsidRPr="0070408C">
        <w:rPr>
          <w:u w:val="single"/>
        </w:rPr>
        <w:t xml:space="preserve"> 2017</w:t>
      </w:r>
      <w:r w:rsidRPr="0070408C">
        <w:t xml:space="preserve"> (PhD physics; chief technology officer of India’s largest renewable energy company ) “No, Tax Breaks for U.S. Oil and Gas Companies Probably Don’t Materially Affect Climate Change” </w:t>
      </w:r>
      <w:r>
        <w:t xml:space="preserve"> 10 Oct 2017 </w:t>
      </w:r>
      <w:hyperlink r:id="rId29" w:history="1">
        <w:r w:rsidRPr="0070408C">
          <w:rPr>
            <w:rStyle w:val="Hyperlink"/>
            <w:color w:val="auto"/>
            <w:u w:val="none"/>
          </w:rPr>
          <w:t>https://www.cfr.org/blog/no-tax-breaks-us-oil-and-gas-companies-probably-dont-materially-affect-climate-change</w:t>
        </w:r>
      </w:hyperlink>
      <w:r>
        <w:t xml:space="preserve">  (Sivaram is citing a CFR (Council on Foreign Relations) study and elsewhere in this article he says he agrees with the study)</w:t>
      </w:r>
    </w:p>
    <w:p w14:paraId="3BFA09A1" w14:textId="77777777" w:rsidR="00021077" w:rsidRPr="002864C6" w:rsidRDefault="00021077" w:rsidP="00021077">
      <w:pPr>
        <w:pStyle w:val="Evidence"/>
      </w:pPr>
      <w:r w:rsidRPr="002864C6">
        <w:rPr>
          <w:u w:val="single"/>
        </w:rPr>
        <w:t>The CFR paper finds that 9 percent of the wells that oil companies drill each year are induced by tax breaks. But most of the additional oil that the U.S. produces will be offset by reduced production elsewhere in the world. After using a simple model of global oil supply and demand, the paper concludes that increased U.S. production translates only to at most a 1 percent decrease in global oil prices, and a measly half a percent increase in global consumption of oil</w:t>
      </w:r>
      <w:r w:rsidRPr="002864C6">
        <w:t xml:space="preserve"> (see table 2, which projects the oil market impacts of </w:t>
      </w:r>
      <w:r w:rsidRPr="002864C6">
        <w:rPr>
          <w:rStyle w:val="Emphasis"/>
          <w:i w:val="0"/>
          <w:iCs w:val="0"/>
        </w:rPr>
        <w:t>taking away</w:t>
      </w:r>
      <w:r w:rsidRPr="002864C6">
        <w:t> tax breaks</w:t>
      </w:r>
      <w:r w:rsidRPr="002864C6">
        <w:rPr>
          <w:u w:val="single"/>
        </w:rPr>
        <w:t>). Such a small uptick is washed out by the ordinary volatility of oil prices and resulting changes in consumption. So the CFR paper concludes that the nearly-undetectable change in global oil consumption means that the climate effects of U.S. tax breaks are negligible.</w:t>
      </w:r>
    </w:p>
    <w:p w14:paraId="3253C6CA" w14:textId="77777777" w:rsidR="00E94475" w:rsidRDefault="00E94475">
      <w:pPr>
        <w:spacing w:after="0" w:line="240" w:lineRule="auto"/>
        <w:rPr>
          <w:rFonts w:eastAsia="Times New Roman"/>
          <w:b/>
          <w:bCs/>
          <w:color w:val="000000"/>
          <w:sz w:val="20"/>
          <w:szCs w:val="20"/>
          <w:lang w:eastAsia="fr-FR"/>
        </w:rPr>
      </w:pPr>
      <w:r>
        <w:br w:type="page"/>
      </w:r>
    </w:p>
    <w:p w14:paraId="04FCF189" w14:textId="37D99C73" w:rsidR="00CB45CE" w:rsidRDefault="00B95E78" w:rsidP="00B95E78">
      <w:pPr>
        <w:pStyle w:val="Contention1"/>
      </w:pPr>
      <w:bookmarkStart w:id="21" w:name="_Toc23538962"/>
      <w:r>
        <w:lastRenderedPageBreak/>
        <w:t>DISADVANTAGES</w:t>
      </w:r>
      <w:bookmarkEnd w:id="21"/>
    </w:p>
    <w:p w14:paraId="4489DB2E" w14:textId="33DE292E" w:rsidR="002864C6" w:rsidRDefault="002864C6" w:rsidP="00B95E78">
      <w:pPr>
        <w:pStyle w:val="Contention1"/>
      </w:pPr>
      <w:bookmarkStart w:id="22" w:name="_Toc23538963"/>
      <w:r>
        <w:t>1.  Less US-produced oil and gas</w:t>
      </w:r>
      <w:bookmarkEnd w:id="22"/>
    </w:p>
    <w:p w14:paraId="6CDE8FFE" w14:textId="20D84A87" w:rsidR="002864C6" w:rsidRDefault="002864C6" w:rsidP="002864C6">
      <w:pPr>
        <w:pStyle w:val="Contention2"/>
      </w:pPr>
      <w:bookmarkStart w:id="23" w:name="_Toc23538964"/>
      <w:r>
        <w:t>Link:  Canceling tax preferences = 9% fewer oil wells and 11% fewer gas wells</w:t>
      </w:r>
      <w:bookmarkEnd w:id="23"/>
    </w:p>
    <w:p w14:paraId="24AFD16B" w14:textId="47188043" w:rsidR="002864C6" w:rsidRDefault="002864C6" w:rsidP="002864C6">
      <w:pPr>
        <w:pStyle w:val="Citation3"/>
      </w:pPr>
      <w:r w:rsidRPr="002864C6">
        <w:rPr>
          <w:u w:val="single"/>
        </w:rPr>
        <w:t>Prof. Gilbert E. Metcalf 2016</w:t>
      </w:r>
      <w:r>
        <w:t xml:space="preserve"> (professor of economics at Tufts University) The Impact of Removing Tax Preferences for U.S. Oil and Gas Production </w:t>
      </w:r>
      <w:hyperlink r:id="rId30" w:history="1">
        <w:r>
          <w:rPr>
            <w:rStyle w:val="Hyperlink"/>
          </w:rPr>
          <w:t>https://www.cfr.org/sites/default/files/pdf/2016/07/Discussion_Paper_Metcalf_Tax_Preferences_OR.pdf</w:t>
        </w:r>
      </w:hyperlink>
    </w:p>
    <w:p w14:paraId="3CAE5125" w14:textId="1ACDBCCB" w:rsidR="002864C6" w:rsidRDefault="002864C6" w:rsidP="002864C6">
      <w:pPr>
        <w:pStyle w:val="Evidence"/>
        <w:rPr>
          <w:u w:val="single"/>
        </w:rPr>
      </w:pPr>
      <w:r>
        <w:t xml:space="preserve">Figure 6 presents </w:t>
      </w:r>
      <w:r w:rsidRPr="00696DB8">
        <w:rPr>
          <w:u w:val="single"/>
        </w:rPr>
        <w:t>the forecasted changes in drilling rates if all three tax preferences are repealed</w:t>
      </w:r>
      <w:r>
        <w:t xml:space="preserve">. Results </w:t>
      </w:r>
      <w:r w:rsidRPr="00696DB8">
        <w:rPr>
          <w:u w:val="single"/>
        </w:rPr>
        <w:t>are reported for the four possible oil production configurations</w:t>
      </w:r>
      <w:r>
        <w:t xml:space="preserve"> (independent-onshore, independent-offshore, integrated-onshore, and integrated-offshore) based on contributions to domestic oil production discussed above. Results </w:t>
      </w:r>
      <w:r w:rsidRPr="00696DB8">
        <w:t>are reported for onshore gas drilled by independent and integrated firms.</w:t>
      </w:r>
      <w:r w:rsidRPr="00696DB8">
        <w:rPr>
          <w:u w:val="single"/>
        </w:rPr>
        <w:t xml:space="preserve"> Oil producers are forecast to drill 9 percent fewer wells, a weighted average by production over all producer and well types. Gas producers are forecast to drill 11 percent fewer onshore wells on average.</w:t>
      </w:r>
    </w:p>
    <w:p w14:paraId="15C2DD95" w14:textId="413A3F05" w:rsidR="00B00730" w:rsidRDefault="00B00730" w:rsidP="00B00730">
      <w:pPr>
        <w:pStyle w:val="Contention2"/>
      </w:pPr>
      <w:bookmarkStart w:id="24" w:name="_Toc23538965"/>
      <w:r>
        <w:t>Impact:  Importing more oil hurts US and global security, funds our enemies and fuels violence</w:t>
      </w:r>
      <w:bookmarkEnd w:id="24"/>
    </w:p>
    <w:p w14:paraId="6FBB680E" w14:textId="77777777" w:rsidR="00B00730" w:rsidRPr="00567B6A" w:rsidRDefault="00B00730" w:rsidP="00B00730">
      <w:pPr>
        <w:pStyle w:val="Citation3"/>
      </w:pPr>
      <w:bookmarkStart w:id="25" w:name="_Toc13825909"/>
      <w:r w:rsidRPr="00567B6A">
        <w:rPr>
          <w:u w:val="single"/>
        </w:rPr>
        <w:t>Rebecca Lefton and Daniel J. Weiss 2010</w:t>
      </w:r>
      <w:r w:rsidRPr="00567B6A">
        <w:t xml:space="preserve"> (</w:t>
      </w:r>
      <w:hyperlink r:id="rId31" w:history="1">
        <w:r w:rsidRPr="00567B6A">
          <w:rPr>
            <w:rStyle w:val="Hyperlink"/>
            <w:color w:val="auto"/>
            <w:u w:val="none"/>
          </w:rPr>
          <w:t>Lefton</w:t>
        </w:r>
      </w:hyperlink>
      <w:r w:rsidRPr="00567B6A">
        <w:t xml:space="preserve"> is a R</w:t>
      </w:r>
      <w:r>
        <w:t xml:space="preserve">esearcher for Progressive Media. Weiss is </w:t>
      </w:r>
      <w:r w:rsidRPr="00567B6A">
        <w:t>Senior Fellow and Director Climate Strategy at the Center for American Progress.) 13 Jan 2010 “Oil Dependence Is a Dangerous Habit” https://www.americanprogress.org/issues/green/reports/2010/01/13/7200/oil-dependence-is-a-dangerous-habit/</w:t>
      </w:r>
      <w:bookmarkEnd w:id="25"/>
    </w:p>
    <w:p w14:paraId="0393D381" w14:textId="77777777" w:rsidR="00B00730" w:rsidRPr="00567B6A" w:rsidRDefault="00B00730" w:rsidP="00B00730">
      <w:pPr>
        <w:pStyle w:val="Evidence"/>
      </w:pPr>
      <w:r w:rsidRPr="00567B6A">
        <w:rPr>
          <w:u w:val="single"/>
        </w:rPr>
        <w:t>As a major contributor to the global demand for oil the United States is paying to finance and sustain unfriendly regimes. Our demand drives up oil prices on the global market, which oftentimes benefits oil-producing nations that don’t sell to us</w:t>
      </w:r>
      <w:r w:rsidRPr="00567B6A">
        <w:t>. The Center for American Progress finds in “</w:t>
      </w:r>
      <w:hyperlink r:id="rId32" w:history="1">
        <w:r w:rsidRPr="00567B6A">
          <w:rPr>
            <w:rStyle w:val="Hyperlink"/>
            <w:color w:val="000000"/>
            <w:u w:val="none"/>
          </w:rPr>
          <w:t>Securing America’s Future: Enhancing Our National Security by Reducing oil Dependence and Environmental Damage</w:t>
        </w:r>
      </w:hyperlink>
      <w:r w:rsidRPr="00567B6A">
        <w:t xml:space="preserve">,” that “because of this, </w:t>
      </w:r>
      <w:r w:rsidRPr="00567B6A">
        <w:rPr>
          <w:u w:val="single"/>
        </w:rPr>
        <w:t xml:space="preserve">anti-Western nations such as Iran—with whom the United States by law cannot trade or buy oil—benefit regardless of who the end buyer of the fuel is.” Further, the regimes and elites that economically benefit from rich energy resources rarely share oil revenues with their people, which worsens economic disparity in the countries and at times creates resource-driven tension and crises. The State Department cites oil-related violence in particular as a danger in </w:t>
      </w:r>
      <w:hyperlink r:id="rId33" w:history="1">
        <w:r w:rsidRPr="00567B6A">
          <w:rPr>
            <w:rStyle w:val="Hyperlink"/>
            <w:color w:val="000000"/>
            <w:u w:val="single"/>
          </w:rPr>
          <w:t>Nigeria</w:t>
        </w:r>
      </w:hyperlink>
      <w:r w:rsidRPr="00567B6A">
        <w:rPr>
          <w:u w:val="single"/>
        </w:rPr>
        <w:t>, where more than 54 national oil workers or businesspeople have been kidnapped at oil-related facilities and other infrastructure since January 2008</w:t>
      </w:r>
      <w:r w:rsidRPr="00567B6A">
        <w:t xml:space="preserve">. </w:t>
      </w:r>
    </w:p>
    <w:p w14:paraId="34B043EA" w14:textId="47D90261" w:rsidR="00B00730" w:rsidRDefault="00B00730" w:rsidP="00B00730">
      <w:pPr>
        <w:pStyle w:val="Contention1"/>
      </w:pPr>
      <w:bookmarkStart w:id="26" w:name="_Toc23538966"/>
      <w:r>
        <w:t>2.  Economic harm and human suffering</w:t>
      </w:r>
      <w:bookmarkEnd w:id="26"/>
    </w:p>
    <w:p w14:paraId="10D7C215" w14:textId="16497C4E" w:rsidR="00B00730" w:rsidRDefault="00B00730" w:rsidP="00B00730">
      <w:pPr>
        <w:pStyle w:val="Contention2"/>
      </w:pPr>
      <w:bookmarkStart w:id="27" w:name="_Toc23538967"/>
      <w:r>
        <w:t>Link:  AFF plan tries to reduce consumption of fossil fuels and/or make them more expensive</w:t>
      </w:r>
      <w:bookmarkEnd w:id="27"/>
    </w:p>
    <w:p w14:paraId="4EF9A073" w14:textId="67E9D5B9" w:rsidR="00B00730" w:rsidRDefault="00B00730" w:rsidP="00B00730">
      <w:pPr>
        <w:pStyle w:val="Evidence"/>
      </w:pPr>
      <w:r>
        <w:t>If not, the plan fails on Solvency.  But that’s bad because…</w:t>
      </w:r>
    </w:p>
    <w:p w14:paraId="10B8FF97" w14:textId="1A2DEC8B" w:rsidR="00B00730" w:rsidRDefault="00B00730" w:rsidP="00B00730">
      <w:pPr>
        <w:pStyle w:val="Contention2"/>
      </w:pPr>
      <w:bookmarkStart w:id="28" w:name="_Toc23538968"/>
      <w:r>
        <w:t>Impact:  Cheap fossil fuels drive global economic success and solve human poverty and suffering</w:t>
      </w:r>
      <w:bookmarkEnd w:id="28"/>
    </w:p>
    <w:p w14:paraId="4D3696AE" w14:textId="24187DBB" w:rsidR="00B00730" w:rsidRPr="00B00730" w:rsidRDefault="00B00730" w:rsidP="00B00730">
      <w:pPr>
        <w:pStyle w:val="Citation3"/>
      </w:pPr>
      <w:r w:rsidRPr="00B00730">
        <w:rPr>
          <w:u w:val="single"/>
        </w:rPr>
        <w:t>Investors Business Daily, 2018</w:t>
      </w:r>
      <w:r w:rsidRPr="00B00730">
        <w:t xml:space="preserve">   November 26th, 2018 “Global Warming: Fake Science Again Serves Far-Left Political Agenda” https://www.investors.com/politics/editorials/global-warming-fake-science-agenda/</w:t>
      </w:r>
    </w:p>
    <w:p w14:paraId="29290475" w14:textId="77777777" w:rsidR="00B00730" w:rsidRPr="00B00730" w:rsidRDefault="00B00730" w:rsidP="00B00730">
      <w:pPr>
        <w:pStyle w:val="Evidence"/>
      </w:pPr>
      <w:r w:rsidRPr="00B00730">
        <w:t>The fact is, access to fossil fuels has been the </w:t>
      </w:r>
      <w:hyperlink r:id="rId34" w:tgtFrame="_blank" w:history="1">
        <w:r w:rsidRPr="00B00730">
          <w:rPr>
            <w:rStyle w:val="Hyperlink"/>
            <w:color w:val="000000"/>
            <w:u w:val="none"/>
          </w:rPr>
          <w:t>key driver of global economic success since the industrial age began.</w:t>
        </w:r>
      </w:hyperlink>
      <w:r w:rsidRPr="00B00730">
        <w:t> Cheap, plentiful fossil fuels during the last 175 years led to the greatest economic surge in human history. Carbon-based fuels moved literally billions of people around the world out of lives of grinding poverty and hard physical labor and into unparalleled wealth and comfort.</w:t>
      </w:r>
    </w:p>
    <w:p w14:paraId="56AD5292" w14:textId="77777777" w:rsidR="00467979" w:rsidRDefault="00467979" w:rsidP="00467979">
      <w:pPr>
        <w:pStyle w:val="Contention1"/>
      </w:pPr>
      <w:bookmarkStart w:id="29" w:name="_Toc23538969"/>
      <w:r>
        <w:lastRenderedPageBreak/>
        <w:t>3.  Harms the poor</w:t>
      </w:r>
      <w:bookmarkEnd w:id="29"/>
    </w:p>
    <w:p w14:paraId="7DC28A13" w14:textId="47B06F5E" w:rsidR="00467979" w:rsidRDefault="00467979" w:rsidP="00467979">
      <w:pPr>
        <w:pStyle w:val="Contention2"/>
      </w:pPr>
      <w:r>
        <w:t xml:space="preserve"> </w:t>
      </w:r>
      <w:bookmarkStart w:id="30" w:name="_Toc23538970"/>
      <w:r>
        <w:t>Lower cost oil benefits the health and well-being of the poor</w:t>
      </w:r>
      <w:bookmarkEnd w:id="30"/>
    </w:p>
    <w:p w14:paraId="2B3806F2" w14:textId="6836F89B" w:rsidR="00467979" w:rsidRPr="00DC1D79" w:rsidRDefault="00467979" w:rsidP="00467979">
      <w:pPr>
        <w:pStyle w:val="Citation3"/>
      </w:pPr>
      <w:bookmarkStart w:id="31" w:name="_Toc13825907"/>
      <w:r w:rsidRPr="00DC1D79">
        <w:rPr>
          <w:u w:val="single"/>
        </w:rPr>
        <w:t>Jude Clemente 2015</w:t>
      </w:r>
      <w:r w:rsidRPr="00DC1D79">
        <w:t xml:space="preserve"> (</w:t>
      </w:r>
      <w:r>
        <w:t>principal at JTC Energy Research Associates, LLC. B.A. in International Relations from Penn State Univ; M.S. in Homeland Security from San Diego State Univ; writer and editor for reports commissioned by the U.S. Dept of Energy, International Energy Agency</w:t>
      </w:r>
      <w:r w:rsidRPr="00DC1D79">
        <w:t>) “Higher Cost Energy Worsens The Shameful Rise In American Poverty” 21 Sept 2015 https://www.forbes.com/sites/judeclemente/2015/09/21/higher-cost-energy-worsens-the-shameful-rise-in-american-poverty/#264ab15c62c4</w:t>
      </w:r>
      <w:bookmarkEnd w:id="31"/>
    </w:p>
    <w:p w14:paraId="1F6F3820" w14:textId="77777777" w:rsidR="00467979" w:rsidRPr="008F2D24" w:rsidRDefault="00467979" w:rsidP="00467979">
      <w:pPr>
        <w:pStyle w:val="Evidence"/>
      </w:pPr>
      <w:r w:rsidRPr="008F2D24">
        <w:t xml:space="preserve">Policies that </w:t>
      </w:r>
      <w:hyperlink r:id="rId35" w:tgtFrame="_blank" w:history="1">
        <w:r w:rsidRPr="008F2D24">
          <w:rPr>
            <w:rStyle w:val="Strong"/>
            <w:b w:val="0"/>
            <w:bCs/>
          </w:rPr>
          <w:t>admittedly</w:t>
        </w:r>
      </w:hyperlink>
      <w:r w:rsidRPr="008F2D24">
        <w:t xml:space="preserve"> increase the cost of energy in the name of "improving health" must always be challenged. That's because wealth is the root of our health, and </w:t>
      </w:r>
      <w:r w:rsidRPr="00DC1D79">
        <w:rPr>
          <w:u w:val="single"/>
        </w:rPr>
        <w:t>higher cost energy takes money away from us,</w:t>
      </w:r>
      <w:hyperlink r:id="rId36" w:tgtFrame="_blank" w:history="1">
        <w:r w:rsidRPr="00DC1D79">
          <w:rPr>
            <w:rStyle w:val="Strong"/>
            <w:b w:val="0"/>
            <w:bCs/>
            <w:u w:val="single"/>
          </w:rPr>
          <w:t xml:space="preserve"> disproportionately hurting those that can least afford it</w:t>
        </w:r>
      </w:hyperlink>
      <w:r w:rsidRPr="00DC1D79">
        <w:rPr>
          <w:u w:val="single"/>
        </w:rPr>
        <w:t>. Simply put, there's nothing better that we can do to allow Americans to live healthier, better, and longer lives than increase their earning potential and disposable income. Because energy is a necessity, affordable energy is fundamental to our progress and frees up money to be spent to grow our consumer-based economy</w:t>
      </w:r>
      <w:r w:rsidRPr="008F2D24">
        <w:t>.</w:t>
      </w:r>
    </w:p>
    <w:p w14:paraId="0560AEE3" w14:textId="2BD98AD5" w:rsidR="00E94475" w:rsidRDefault="00467979" w:rsidP="00B00730">
      <w:pPr>
        <w:pStyle w:val="Contention1"/>
      </w:pPr>
      <w:bookmarkStart w:id="32" w:name="_Toc23538971"/>
      <w:r>
        <w:t xml:space="preserve">4.  </w:t>
      </w:r>
      <w:r w:rsidR="00E94475">
        <w:t>Increased world hunger</w:t>
      </w:r>
      <w:bookmarkEnd w:id="32"/>
    </w:p>
    <w:p w14:paraId="53AFCC78" w14:textId="2D4C8BDF" w:rsidR="00E94475" w:rsidRDefault="00E94475" w:rsidP="00E94475">
      <w:pPr>
        <w:pStyle w:val="Contention2"/>
      </w:pPr>
      <w:bookmarkStart w:id="33" w:name="_Toc23538972"/>
      <w:r>
        <w:t>Link:  AFF claims to reduce atmospheric CO2</w:t>
      </w:r>
      <w:bookmarkEnd w:id="33"/>
    </w:p>
    <w:p w14:paraId="6C9EB982" w14:textId="18BED756" w:rsidR="00E94475" w:rsidRDefault="00E94475" w:rsidP="00E94475">
      <w:pPr>
        <w:pStyle w:val="Evidence"/>
      </w:pPr>
      <w:r>
        <w:t xml:space="preserve">We don’t think they will, but they keep insisting, so </w:t>
      </w:r>
      <w:r w:rsidR="00D002D6">
        <w:t xml:space="preserve">they’ll have to accept this </w:t>
      </w:r>
      <w:r>
        <w:t>disadvantage.</w:t>
      </w:r>
    </w:p>
    <w:p w14:paraId="714CFEC7" w14:textId="7DE6E9EA" w:rsidR="00E94475" w:rsidRDefault="00D002D6" w:rsidP="00D002D6">
      <w:pPr>
        <w:pStyle w:val="Contention2"/>
      </w:pPr>
      <w:bookmarkStart w:id="34" w:name="_Toc23538973"/>
      <w:r>
        <w:t>Link:  Increased CO2 would grow more crops that could feed more of the growing world population</w:t>
      </w:r>
      <w:bookmarkEnd w:id="34"/>
    </w:p>
    <w:p w14:paraId="1EA8A07C" w14:textId="651D1AAA" w:rsidR="00D002D6" w:rsidRDefault="00D002D6" w:rsidP="00D002D6">
      <w:pPr>
        <w:pStyle w:val="Citation3"/>
      </w:pPr>
      <w:r w:rsidRPr="00D002D6">
        <w:rPr>
          <w:u w:val="single"/>
        </w:rPr>
        <w:t>Alex Nicolson and Dr. Lars Schernikau 2017</w:t>
      </w:r>
      <w:r>
        <w:t>. (</w:t>
      </w:r>
      <w:r>
        <w:t>Alex Nicolson M.Sc. Mech Eng., MBA, P.E Technical Writer, Burbank, CA</w:t>
      </w:r>
      <w:r>
        <w:t xml:space="preserve">. </w:t>
      </w:r>
      <w:r>
        <w:t xml:space="preserve"> Dr. Lars Shernikau, MBA, BSc Finance Entrepreneur, Commodities Trader, Switzerland</w:t>
      </w:r>
      <w:r>
        <w:t xml:space="preserve">)   </w:t>
      </w:r>
      <w:r>
        <w:t>CO2 Beneficial to Earth, Impact on Global Warming Vastly Exaggerated</w:t>
      </w:r>
      <w:r>
        <w:t xml:space="preserve">, Apr 2017 </w:t>
      </w:r>
      <w:hyperlink r:id="rId37" w:history="1">
        <w:r>
          <w:rPr>
            <w:rStyle w:val="Hyperlink"/>
          </w:rPr>
          <w:t>http://www.dialogi.su/storage/b/2017/06/05/2017-05-Nicolson-Schernikau-Benefits-of-CO2-Coal-Asia-mail.pdf</w:t>
        </w:r>
      </w:hyperlink>
    </w:p>
    <w:p w14:paraId="5EDC5715" w14:textId="0950310E" w:rsidR="00E94475" w:rsidRDefault="00E94475" w:rsidP="00E94475">
      <w:pPr>
        <w:pStyle w:val="Evidence"/>
      </w:pPr>
      <w:r>
        <w:t>The rising stars of tomorrow’s industrial world are now being forced to comply with unrealistic targets and spend their money on CO2 mitigation – while in fact it would be urgently needed to develop their country’s infrastructure, improve the health system and reduce environmental pollution of the air, water and soil. At the same time, higher CO2 level will increase crop output and help feeding growing human and animal population.</w:t>
      </w:r>
    </w:p>
    <w:p w14:paraId="6BEFA230" w14:textId="729A74F4" w:rsidR="00D002D6" w:rsidRDefault="00D002D6" w:rsidP="00D002D6">
      <w:pPr>
        <w:pStyle w:val="Contention2"/>
      </w:pPr>
      <w:bookmarkStart w:id="35" w:name="_Toc453419472"/>
      <w:bookmarkStart w:id="36" w:name="_Toc23538974"/>
      <w:r>
        <w:t xml:space="preserve">Link/Brink:  </w:t>
      </w:r>
      <w:r>
        <w:t>Hundreds of millions are on the brink of</w:t>
      </w:r>
      <w:r>
        <w:t xml:space="preserve"> starving globally</w:t>
      </w:r>
      <w:bookmarkEnd w:id="35"/>
      <w:r>
        <w:t xml:space="preserve"> if we don’t dramatically increase food production</w:t>
      </w:r>
      <w:bookmarkEnd w:id="36"/>
    </w:p>
    <w:p w14:paraId="632E0A11" w14:textId="748AECFC" w:rsidR="00D002D6" w:rsidRDefault="00D002D6" w:rsidP="00D002D6">
      <w:pPr>
        <w:pStyle w:val="Citation3"/>
      </w:pPr>
      <w:r w:rsidRPr="009B78A8">
        <w:rPr>
          <w:u w:val="single"/>
        </w:rPr>
        <w:t>Dr Tammy Beckham 2015</w:t>
      </w:r>
      <w:r>
        <w:t xml:space="preserve"> (DVM, Ph.D., Dean of the Kansas State University College of Veterinary Medicine) testimony before the House Committee on Agriculture 4 Nov 2015 </w:t>
      </w:r>
      <w:hyperlink r:id="rId38" w:history="1">
        <w:r>
          <w:rPr>
            <w:rStyle w:val="Hyperlink"/>
          </w:rPr>
          <w:t>https://www.govinfo.gov/content/pkg/CHRG-114hhrg97543/html/CHRG-114hhrg97543.htm</w:t>
        </w:r>
      </w:hyperlink>
    </w:p>
    <w:p w14:paraId="7845071D" w14:textId="77777777" w:rsidR="00D002D6" w:rsidRDefault="00D002D6" w:rsidP="00D002D6">
      <w:pPr>
        <w:pStyle w:val="Evidence"/>
      </w:pPr>
      <w:r>
        <w:t>In addition to understanding the importance of the agricultural industry in the U.S. and its role in supporting national security, it is also important and critical that we understand the role of global food security in securing the homeland.  Currently, 870 million people around the world do not have access to safe and nutritious food in a sufficient supply. By the year 2050, the global population is expected to exceed 9 billion people. Nearly all of the growth is expected to occur in developing countries. Feeding 9 billion people will demand that food production is increased by 70% and more specifically, that food production in the developing world double.</w:t>
      </w:r>
    </w:p>
    <w:p w14:paraId="0B2ED4AE" w14:textId="77777777" w:rsidR="00D002D6" w:rsidRDefault="00D002D6" w:rsidP="00D002D6">
      <w:pPr>
        <w:pStyle w:val="Contention2"/>
      </w:pPr>
      <w:bookmarkStart w:id="37" w:name="_Toc453419473"/>
      <w:bookmarkStart w:id="38" w:name="_Toc23538975"/>
      <w:r>
        <w:lastRenderedPageBreak/>
        <w:t>Impact:  Food shortages, political instability, social unrest, extremism, conflict.</w:t>
      </w:r>
      <w:bookmarkEnd w:id="37"/>
      <w:bookmarkEnd w:id="38"/>
      <w:r>
        <w:t xml:space="preserve"> </w:t>
      </w:r>
    </w:p>
    <w:p w14:paraId="1EA1D57B" w14:textId="2C940C96" w:rsidR="00D002D6" w:rsidRDefault="00D002D6" w:rsidP="00D002D6">
      <w:pPr>
        <w:pStyle w:val="Citation3"/>
      </w:pPr>
      <w:r w:rsidRPr="009B78A8">
        <w:rPr>
          <w:u w:val="single"/>
        </w:rPr>
        <w:t>Dr Tammy Beckham 2015</w:t>
      </w:r>
      <w:r>
        <w:t xml:space="preserve"> (DVM, Ph.D., Dean of the Kansas State Univ College of Veterinary Medicine) testimony before the House Committee on Agriculture 4 Nov 2015 </w:t>
      </w:r>
      <w:r w:rsidRPr="00D002D6">
        <w:t>https://www.govinfo.gov/content/pkg/CHRG-114hhrg97543/html/CHRG-114hhrg97543.htm</w:t>
      </w:r>
    </w:p>
    <w:p w14:paraId="418780FD" w14:textId="77777777" w:rsidR="00D002D6" w:rsidRDefault="00D002D6" w:rsidP="00D002D6">
      <w:pPr>
        <w:pStyle w:val="Evidence"/>
      </w:pPr>
      <w:r>
        <w:t>Meeting these growing demands will be critical if we hope to maintain political stability in increasingly volatile regions across the globe.  Food insecurity and scarcity is well known to be one of the most potent drivers of political instability and social unrest.  In fact, according to the Lugar Center, “global food security has both foreign policy and national security implications for the U.S. Diplomatic efforts to maintain peace and stability are much more difficult whenever there are food shortages contributing to extremism and conflict”. Perfect examples of this have been seen throughout the Middle East and North Africa, where countries import over half of their food.</w:t>
      </w:r>
    </w:p>
    <w:p w14:paraId="21D67D82" w14:textId="525031F6" w:rsidR="00B00730" w:rsidRDefault="00E94475" w:rsidP="00B00730">
      <w:pPr>
        <w:pStyle w:val="Contention1"/>
      </w:pPr>
      <w:bookmarkStart w:id="39" w:name="_Toc23538976"/>
      <w:r>
        <w:t xml:space="preserve">5.  </w:t>
      </w:r>
      <w:r w:rsidR="00467979">
        <w:t xml:space="preserve"> Increased Russian influence</w:t>
      </w:r>
      <w:bookmarkEnd w:id="39"/>
    </w:p>
    <w:p w14:paraId="101DF7B5" w14:textId="539E3781" w:rsidR="00467979" w:rsidRDefault="00467979" w:rsidP="00467979">
      <w:pPr>
        <w:pStyle w:val="Contention2"/>
      </w:pPr>
      <w:bookmarkStart w:id="40" w:name="_Toc23538977"/>
      <w:r>
        <w:t>Link:  AFF decreases US gas production</w:t>
      </w:r>
      <w:bookmarkEnd w:id="40"/>
    </w:p>
    <w:p w14:paraId="77C439F5" w14:textId="15381E95" w:rsidR="00467979" w:rsidRDefault="00467979" w:rsidP="00467979">
      <w:pPr>
        <w:pStyle w:val="Evidence"/>
      </w:pPr>
      <w:r>
        <w:t>If it’s an insignificant amount, then vote NEG on significance.  If it’s significant, then this Disadvantage will happen.</w:t>
      </w:r>
    </w:p>
    <w:p w14:paraId="3950834D" w14:textId="4278204F" w:rsidR="00467979" w:rsidRDefault="00467979" w:rsidP="00467979">
      <w:pPr>
        <w:pStyle w:val="Contention2"/>
      </w:pPr>
      <w:bookmarkStart w:id="41" w:name="_Toc14806514"/>
      <w:bookmarkStart w:id="42" w:name="_Toc23538978"/>
      <w:r>
        <w:t>Link:  Russia uses its natural gas exports to coerce our allies</w:t>
      </w:r>
      <w:bookmarkEnd w:id="41"/>
      <w:bookmarkEnd w:id="42"/>
    </w:p>
    <w:p w14:paraId="60C9F471" w14:textId="77777777" w:rsidR="00467979" w:rsidRPr="00D23900" w:rsidRDefault="00467979" w:rsidP="00467979">
      <w:pPr>
        <w:pStyle w:val="Citation3"/>
        <w:ind w:left="144"/>
      </w:pPr>
      <w:bookmarkStart w:id="43" w:name="_Toc13493348"/>
      <w:bookmarkStart w:id="44" w:name="_Toc13564003"/>
      <w:bookmarkStart w:id="45" w:name="_Toc13742754"/>
      <w:bookmarkStart w:id="46" w:name="_Toc13745802"/>
      <w:bookmarkStart w:id="47" w:name="_Toc13825910"/>
      <w:r w:rsidRPr="00D23900">
        <w:rPr>
          <w:u w:val="single"/>
        </w:rPr>
        <w:t>Adam Stulberg</w:t>
      </w:r>
      <w:r>
        <w:rPr>
          <w:u w:val="single"/>
        </w:rPr>
        <w:t xml:space="preserve"> 2013 (</w:t>
      </w:r>
      <w:r>
        <w:t>PhD. Professor at Georgia Tech’s school of international affairs and associate director of the Strategic Energy Institute) September 2013 “</w:t>
      </w:r>
      <w:r w:rsidRPr="00D23900">
        <w:t>Russia and the Geopolitics of Natural Gas: Leveraging or Succumbing to Revolution?</w:t>
      </w:r>
      <w:r>
        <w:t xml:space="preserve">” </w:t>
      </w:r>
      <w:hyperlink r:id="rId39" w:history="1">
        <w:r w:rsidRPr="00D23900">
          <w:rPr>
            <w:rStyle w:val="Hyperlink"/>
          </w:rPr>
          <w:t>http://www.ponarseurasia.org/memo/russia-and-geopolitics-natural-gas-leveraging-or-succumbing-revolution</w:t>
        </w:r>
        <w:bookmarkEnd w:id="43"/>
        <w:bookmarkEnd w:id="44"/>
        <w:bookmarkEnd w:id="45"/>
        <w:bookmarkEnd w:id="46"/>
        <w:bookmarkEnd w:id="47"/>
      </w:hyperlink>
    </w:p>
    <w:p w14:paraId="3EB37A3A" w14:textId="77777777" w:rsidR="00467979" w:rsidRDefault="00467979" w:rsidP="00467979">
      <w:pPr>
        <w:pStyle w:val="Evidence"/>
        <w:ind w:left="144"/>
      </w:pPr>
      <w:r w:rsidRPr="00907882">
        <w:t xml:space="preserve">Under President Vladimir Putin, Russia’s foreign energy posture has embraced the interrelated goals of protecting shares in established gas markets, preempting competition from other sources and suppliers, and leveraging such efforts for commercial and political gain. </w:t>
      </w:r>
      <w:r w:rsidRPr="00907882">
        <w:rPr>
          <w:u w:val="single"/>
        </w:rPr>
        <w:t>Relying on a variety of tactics—</w:t>
      </w:r>
      <w:r w:rsidRPr="00ED482B">
        <w:t>e.g.</w:t>
      </w:r>
      <w:r w:rsidRPr="00907882">
        <w:rPr>
          <w:u w:val="single"/>
        </w:rPr>
        <w:t xml:space="preserve"> discretionary price cuts/hikes, take or pay obligations, state supported subsidies and centralized control over the domestic sector, export tax exemptions, physical supply disruptions, </w:t>
      </w:r>
      <w:r w:rsidRPr="00ED482B">
        <w:t>and</w:t>
      </w:r>
      <w:r w:rsidRPr="00907882">
        <w:rPr>
          <w:u w:val="single"/>
        </w:rPr>
        <w:t xml:space="preserve"> veiled threats of orchestrating a new gas cartel and arbitrarily switching deliveries between established import dependent European customers and emerging markets in Asia—Moscow has repeatedly flexed Russia’s tremendous natural gas endowments and diffused pipeline network against vulnerable post-Soviet customers and transit states.  This has been pursued with seemingly little regard to the pain inflicted upon downstream customers in Europe and Central Asian supply partners.</w:t>
      </w:r>
      <w:r w:rsidRPr="00907882">
        <w:t xml:space="preserve"> Hence, it is widely believed that geopolitical relief will come with the convergence of sustained weakness in Europe’s demand for gas, growth in global LNG markets, the unconventional gas boom in the United States, and the aggressive pursuit of new markets by other suppliers. Together these factors are expected to transform the global gas landscape in ways largely inimical to Russia’s great power ambitions, compelling Moscow to rethink its coercive strategy.</w:t>
      </w:r>
    </w:p>
    <w:p w14:paraId="0664E17C" w14:textId="7E80F2F0" w:rsidR="00467979" w:rsidRDefault="00467979" w:rsidP="00467979">
      <w:pPr>
        <w:pStyle w:val="Contention2"/>
      </w:pPr>
      <w:bookmarkStart w:id="48" w:name="_Toc13054766"/>
      <w:bookmarkStart w:id="49" w:name="_Toc14806515"/>
      <w:bookmarkStart w:id="50" w:name="_Toc23538979"/>
      <w:r>
        <w:t>Link:  Exporting more US natural gas decreases European reliance on Russia</w:t>
      </w:r>
      <w:bookmarkEnd w:id="48"/>
      <w:bookmarkEnd w:id="49"/>
      <w:bookmarkEnd w:id="50"/>
    </w:p>
    <w:p w14:paraId="672B006D" w14:textId="77777777" w:rsidR="00467979" w:rsidRPr="00587E22" w:rsidRDefault="00467979" w:rsidP="00467979">
      <w:pPr>
        <w:pStyle w:val="Citation3"/>
        <w:rPr>
          <w:b/>
        </w:rPr>
      </w:pPr>
      <w:bookmarkStart w:id="51" w:name="_Toc13064325"/>
      <w:bookmarkStart w:id="52" w:name="_Toc13064359"/>
      <w:bookmarkStart w:id="53" w:name="_Toc13064728"/>
      <w:bookmarkStart w:id="54" w:name="_Toc13124797"/>
      <w:bookmarkStart w:id="55" w:name="_Toc13222575"/>
      <w:bookmarkStart w:id="56" w:name="_Toc13493349"/>
      <w:bookmarkStart w:id="57" w:name="_Toc13564004"/>
      <w:bookmarkStart w:id="58" w:name="_Toc13742755"/>
      <w:bookmarkStart w:id="59" w:name="_Toc13745804"/>
      <w:bookmarkStart w:id="60" w:name="_Toc13825911"/>
      <w:r w:rsidRPr="00E4416F">
        <w:rPr>
          <w:u w:val="single"/>
        </w:rPr>
        <w:t>KOSTIS GEROPOULOS</w:t>
      </w:r>
      <w:r>
        <w:rPr>
          <w:u w:val="single"/>
        </w:rPr>
        <w:t xml:space="preserve"> 2019 </w:t>
      </w:r>
      <w:r>
        <w:t>(</w:t>
      </w:r>
      <w:r w:rsidRPr="00587E22">
        <w:t xml:space="preserve">Energy &amp; Russian Affairs Editor at New Europe) </w:t>
      </w:r>
      <w:r>
        <w:t xml:space="preserve">3 May 2019 </w:t>
      </w:r>
      <w:r w:rsidRPr="00587E22">
        <w:t>“US authorizes LNG exports from Driftwood and Port Arthur projects”</w:t>
      </w:r>
      <w:r w:rsidRPr="00587E22">
        <w:rPr>
          <w:i w:val="0"/>
          <w:sz w:val="24"/>
          <w:szCs w:val="24"/>
        </w:rPr>
        <w:t xml:space="preserve"> </w:t>
      </w:r>
      <w:hyperlink r:id="rId40" w:history="1">
        <w:r w:rsidRPr="00587E22">
          <w:rPr>
            <w:rStyle w:val="Hyperlink"/>
          </w:rPr>
          <w:t>https://www.neweurope.eu/article/us-boosts-lng-supplies-to-the-eu-aiming-to-reduce-reliance-on-russia/</w:t>
        </w:r>
        <w:bookmarkEnd w:id="51"/>
        <w:bookmarkEnd w:id="52"/>
        <w:bookmarkEnd w:id="53"/>
        <w:bookmarkEnd w:id="54"/>
        <w:bookmarkEnd w:id="55"/>
        <w:bookmarkEnd w:id="56"/>
        <w:bookmarkEnd w:id="57"/>
        <w:bookmarkEnd w:id="58"/>
        <w:bookmarkEnd w:id="59"/>
        <w:bookmarkEnd w:id="60"/>
      </w:hyperlink>
    </w:p>
    <w:p w14:paraId="77BC4025" w14:textId="77777777" w:rsidR="00467979" w:rsidRDefault="00467979" w:rsidP="00467979">
      <w:pPr>
        <w:pStyle w:val="Evidence"/>
      </w:pPr>
      <w:r w:rsidRPr="00E4416F">
        <w:t xml:space="preserve">The </w:t>
      </w:r>
      <w:r w:rsidRPr="00E4416F">
        <w:rPr>
          <w:u w:val="single"/>
        </w:rPr>
        <w:t>increased exports of American liquefied natural gas</w:t>
      </w:r>
      <w:r w:rsidRPr="00E4416F">
        <w:t xml:space="preserve"> (LNG) </w:t>
      </w:r>
      <w:r w:rsidRPr="00E4416F">
        <w:rPr>
          <w:u w:val="single"/>
        </w:rPr>
        <w:t>to Europe will decrease the European Union’s reliance on Russia and boost EU energy security, former Member of the European Parliament Niki Tzavela, who served in the energy and EU-US relations committees, told New Europe</w:t>
      </w:r>
      <w:r>
        <w:t xml:space="preserve"> in an interview on 2 May.</w:t>
      </w:r>
    </w:p>
    <w:p w14:paraId="0BF5B086" w14:textId="77777777" w:rsidR="00467979" w:rsidRPr="00302B07" w:rsidRDefault="00467979" w:rsidP="00467979">
      <w:pPr>
        <w:pStyle w:val="Contention2"/>
      </w:pPr>
      <w:bookmarkStart w:id="61" w:name="_Toc14806516"/>
      <w:bookmarkStart w:id="62" w:name="_Toc23538980"/>
      <w:r>
        <w:lastRenderedPageBreak/>
        <w:t>The Impact</w:t>
      </w:r>
      <w:r w:rsidRPr="00302B07">
        <w:t xml:space="preserve">:  </w:t>
      </w:r>
      <w:r>
        <w:t>Increased Russian influence risks big international impacts in lives and treasure</w:t>
      </w:r>
      <w:bookmarkEnd w:id="61"/>
      <w:bookmarkEnd w:id="62"/>
    </w:p>
    <w:p w14:paraId="6B81B980" w14:textId="77777777" w:rsidR="00467979" w:rsidRPr="00872315" w:rsidRDefault="00467979" w:rsidP="00467979">
      <w:pPr>
        <w:pStyle w:val="Citation3"/>
      </w:pPr>
      <w:bookmarkStart w:id="63" w:name="_Toc13742785"/>
      <w:bookmarkStart w:id="64" w:name="_Toc13745803"/>
      <w:bookmarkStart w:id="65" w:name="_Toc13825912"/>
      <w:r w:rsidRPr="00567B6A">
        <w:rPr>
          <w:u w:val="single"/>
        </w:rPr>
        <w:t>Dr. Robert Kagan 2017</w:t>
      </w:r>
      <w:r w:rsidRPr="00872315">
        <w:t>. (PhD in American history; Stephen &amp; Barbara Friedman Senior Fellow - </w:t>
      </w:r>
      <w:hyperlink r:id="rId41" w:history="1">
        <w:r w:rsidRPr="00872315">
          <w:rPr>
            <w:rStyle w:val="Hyperlink"/>
            <w:color w:val="auto"/>
            <w:u w:val="none"/>
          </w:rPr>
          <w:t>Foreign Policy</w:t>
        </w:r>
      </w:hyperlink>
      <w:r w:rsidRPr="00872315">
        <w:t>, </w:t>
      </w:r>
      <w:hyperlink r:id="rId42" w:history="1">
        <w:r w:rsidRPr="00872315">
          <w:rPr>
            <w:rStyle w:val="Hyperlink"/>
            <w:color w:val="auto"/>
            <w:u w:val="none"/>
          </w:rPr>
          <w:t>Project on International Order and Strategy</w:t>
        </w:r>
      </w:hyperlink>
      <w:r w:rsidRPr="00872315">
        <w:t xml:space="preserve"> at Brookings Institution) 6 Feb 2017 ‘Backing into World War III”  </w:t>
      </w:r>
      <w:hyperlink r:id="rId43" w:history="1">
        <w:r w:rsidRPr="00872315">
          <w:rPr>
            <w:rStyle w:val="Hyperlink"/>
            <w:color w:val="auto"/>
            <w:u w:val="none"/>
          </w:rPr>
          <w:t>https://www.brookings.edu/research/backing-into-world-war-iii/</w:t>
        </w:r>
        <w:bookmarkEnd w:id="63"/>
        <w:bookmarkEnd w:id="64"/>
        <w:bookmarkEnd w:id="65"/>
      </w:hyperlink>
    </w:p>
    <w:p w14:paraId="6AB665DF" w14:textId="77777777" w:rsidR="00467979" w:rsidRPr="00872315" w:rsidRDefault="00467979" w:rsidP="00467979">
      <w:pPr>
        <w:pStyle w:val="Evidence"/>
      </w:pPr>
      <w:r w:rsidRPr="00872315">
        <w:rPr>
          <w:u w:val="single"/>
        </w:rPr>
        <w:t>Think of two significant trend lines in the world today. One is the increasing ambition and activism of the two great revisionist powers, Russia and China. The other is the declining confidence, capacity, and will of the democratic world, and especially of the United States, to maintain the dominant position it has held in the international system</w:t>
      </w:r>
      <w:r w:rsidRPr="00872315">
        <w:t xml:space="preserve"> since 1945. </w:t>
      </w:r>
      <w:r w:rsidRPr="00872315">
        <w:rPr>
          <w:u w:val="single"/>
        </w:rPr>
        <w:t>As those two lines move closer, as the declining will and capacity of the United States and its allies to maintain the present world order meet the increasing desire and capacity of the revisionist powers to change it, we will reach the moment at which the existing order collapses and the world descends into a phase of brutal anarchy, as it has three times in the past two centuries. The cost of that descent, in lives and treasure, in lost freedoms and lost hope, will be staggering.</w:t>
      </w:r>
    </w:p>
    <w:p w14:paraId="6BA32778" w14:textId="77777777" w:rsidR="00467979" w:rsidRDefault="00467979" w:rsidP="00B00730">
      <w:pPr>
        <w:pStyle w:val="Contention1"/>
      </w:pPr>
    </w:p>
    <w:p w14:paraId="282A734C" w14:textId="2D49C38E" w:rsidR="00D462AA" w:rsidRDefault="00D462AA" w:rsidP="00D462AA">
      <w:pPr>
        <w:pStyle w:val="Title2"/>
      </w:pPr>
      <w:bookmarkStart w:id="66" w:name="_Toc23538981"/>
      <w:r>
        <w:lastRenderedPageBreak/>
        <w:t>Works Cited</w:t>
      </w:r>
      <w:bookmarkEnd w:id="66"/>
    </w:p>
    <w:p w14:paraId="37D888D6" w14:textId="68AEC96D" w:rsidR="00EA565D" w:rsidRPr="00D922B2" w:rsidRDefault="00E94475" w:rsidP="000A7A9D">
      <w:pPr>
        <w:pStyle w:val="TOC4"/>
        <w:tabs>
          <w:tab w:val="right" w:leader="dot" w:pos="9350"/>
        </w:tabs>
      </w:pPr>
      <w:fldSimple w:instr=" TOC \o &quot;1-4&quot; \n \t &quot;Citation3,4&quot; ">
        <w:r w:rsidR="00F434C7" w:rsidRPr="008F403B">
          <w:rPr>
            <w:noProof/>
          </w:rPr>
          <w:t xml:space="preserve">Hannah </w:t>
        </w:r>
      </w:fldSimple>
    </w:p>
    <w:sectPr w:rsidR="00EA565D" w:rsidRPr="00D922B2" w:rsidSect="00F04C23">
      <w:headerReference w:type="default" r:id="rId44"/>
      <w:footerReference w:type="default" r:id="rId4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1E564" w14:textId="77777777" w:rsidR="0007566D" w:rsidRDefault="0007566D" w:rsidP="001D5FD6">
      <w:pPr>
        <w:spacing w:after="0" w:line="240" w:lineRule="auto"/>
      </w:pPr>
      <w:r>
        <w:separator/>
      </w:r>
    </w:p>
    <w:p w14:paraId="3A3A2570" w14:textId="77777777" w:rsidR="0007566D" w:rsidRDefault="0007566D"/>
    <w:p w14:paraId="63BB1A0B" w14:textId="77777777" w:rsidR="0007566D" w:rsidRDefault="0007566D"/>
  </w:endnote>
  <w:endnote w:type="continuationSeparator" w:id="0">
    <w:p w14:paraId="6FC8895B" w14:textId="77777777" w:rsidR="0007566D" w:rsidRDefault="0007566D" w:rsidP="001D5FD6">
      <w:pPr>
        <w:spacing w:after="0" w:line="240" w:lineRule="auto"/>
      </w:pPr>
      <w:r>
        <w:continuationSeparator/>
      </w:r>
    </w:p>
    <w:p w14:paraId="7B4A56E0" w14:textId="77777777" w:rsidR="0007566D" w:rsidRDefault="0007566D"/>
    <w:p w14:paraId="6DF3C216" w14:textId="77777777" w:rsidR="0007566D" w:rsidRDefault="00075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68E8D79C" w:rsidR="00E94475" w:rsidRDefault="00E94475"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D002D6">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D002D6">
      <w:rPr>
        <w:noProof/>
        <w:sz w:val="24"/>
        <w:szCs w:val="24"/>
      </w:rPr>
      <w:t>11</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E94475" w:rsidRDefault="00E94475"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E94475" w:rsidRPr="00303BC4" w:rsidRDefault="00E94475"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DAFEC" w14:textId="77777777" w:rsidR="0007566D" w:rsidRDefault="0007566D" w:rsidP="001D5FD6">
      <w:pPr>
        <w:spacing w:after="0" w:line="240" w:lineRule="auto"/>
      </w:pPr>
      <w:r>
        <w:separator/>
      </w:r>
    </w:p>
    <w:p w14:paraId="4422DC2E" w14:textId="77777777" w:rsidR="0007566D" w:rsidRDefault="0007566D"/>
    <w:p w14:paraId="0865BCB0" w14:textId="77777777" w:rsidR="0007566D" w:rsidRDefault="0007566D"/>
  </w:footnote>
  <w:footnote w:type="continuationSeparator" w:id="0">
    <w:p w14:paraId="3B54A81F" w14:textId="77777777" w:rsidR="0007566D" w:rsidRDefault="0007566D" w:rsidP="001D5FD6">
      <w:pPr>
        <w:spacing w:after="0" w:line="240" w:lineRule="auto"/>
      </w:pPr>
      <w:r>
        <w:continuationSeparator/>
      </w:r>
    </w:p>
    <w:p w14:paraId="39C2896D" w14:textId="77777777" w:rsidR="0007566D" w:rsidRDefault="0007566D"/>
    <w:p w14:paraId="771EDE1B" w14:textId="77777777" w:rsidR="0007566D" w:rsidRDefault="000756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4BB00" w14:textId="048FAF44" w:rsidR="00E94475" w:rsidRDefault="00E94475" w:rsidP="00934A35">
    <w:pPr>
      <w:pStyle w:val="Footer"/>
    </w:pPr>
    <w:r>
      <w:t>Negative: Fossil Fuel Subsidies – not a problem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95C5D9B"/>
    <w:multiLevelType w:val="hybridMultilevel"/>
    <w:tmpl w:val="170A4D44"/>
    <w:lvl w:ilvl="0" w:tplc="A19086AC">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8"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14"/>
  </w:num>
  <w:num w:numId="4">
    <w:abstractNumId w:val="18"/>
  </w:num>
  <w:num w:numId="5">
    <w:abstractNumId w:val="33"/>
  </w:num>
  <w:num w:numId="6">
    <w:abstractNumId w:val="16"/>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1"/>
  </w:num>
  <w:num w:numId="29">
    <w:abstractNumId w:val="19"/>
  </w:num>
  <w:num w:numId="30">
    <w:abstractNumId w:val="22"/>
  </w:num>
  <w:num w:numId="31">
    <w:abstractNumId w:val="13"/>
  </w:num>
  <w:num w:numId="32">
    <w:abstractNumId w:val="28"/>
  </w:num>
  <w:num w:numId="33">
    <w:abstractNumId w:val="35"/>
  </w:num>
  <w:num w:numId="34">
    <w:abstractNumId w:val="25"/>
  </w:num>
  <w:num w:numId="35">
    <w:abstractNumId w:val="20"/>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1BF9"/>
    <w:rsid w:val="00017724"/>
    <w:rsid w:val="00021077"/>
    <w:rsid w:val="00026F23"/>
    <w:rsid w:val="00037367"/>
    <w:rsid w:val="00037C74"/>
    <w:rsid w:val="000437AC"/>
    <w:rsid w:val="000519FE"/>
    <w:rsid w:val="0007056F"/>
    <w:rsid w:val="0007566D"/>
    <w:rsid w:val="000815E1"/>
    <w:rsid w:val="0008580D"/>
    <w:rsid w:val="0008674B"/>
    <w:rsid w:val="0009425D"/>
    <w:rsid w:val="000948EB"/>
    <w:rsid w:val="0009716A"/>
    <w:rsid w:val="000A2CDB"/>
    <w:rsid w:val="000A7A9D"/>
    <w:rsid w:val="000B0848"/>
    <w:rsid w:val="000B3CC7"/>
    <w:rsid w:val="000B504C"/>
    <w:rsid w:val="000C0767"/>
    <w:rsid w:val="000C54F8"/>
    <w:rsid w:val="000C7058"/>
    <w:rsid w:val="000D3779"/>
    <w:rsid w:val="000D5C9A"/>
    <w:rsid w:val="000E04AA"/>
    <w:rsid w:val="000E63C4"/>
    <w:rsid w:val="000F24E5"/>
    <w:rsid w:val="000F546C"/>
    <w:rsid w:val="000F5B0E"/>
    <w:rsid w:val="000F5B6C"/>
    <w:rsid w:val="00105BD1"/>
    <w:rsid w:val="001167F7"/>
    <w:rsid w:val="001258E6"/>
    <w:rsid w:val="0013546D"/>
    <w:rsid w:val="001361FB"/>
    <w:rsid w:val="0013662E"/>
    <w:rsid w:val="001410FB"/>
    <w:rsid w:val="001510AA"/>
    <w:rsid w:val="0015488C"/>
    <w:rsid w:val="0017181C"/>
    <w:rsid w:val="00190F49"/>
    <w:rsid w:val="00196952"/>
    <w:rsid w:val="001A391C"/>
    <w:rsid w:val="001B60B3"/>
    <w:rsid w:val="001C036D"/>
    <w:rsid w:val="001C1467"/>
    <w:rsid w:val="001D2C8F"/>
    <w:rsid w:val="001D5FD6"/>
    <w:rsid w:val="001E34BC"/>
    <w:rsid w:val="001F0ADE"/>
    <w:rsid w:val="001F6768"/>
    <w:rsid w:val="00200E60"/>
    <w:rsid w:val="0020276C"/>
    <w:rsid w:val="00202C7B"/>
    <w:rsid w:val="00213EE2"/>
    <w:rsid w:val="00227538"/>
    <w:rsid w:val="00236F83"/>
    <w:rsid w:val="002438CB"/>
    <w:rsid w:val="002558C7"/>
    <w:rsid w:val="00265032"/>
    <w:rsid w:val="00265E15"/>
    <w:rsid w:val="00270F80"/>
    <w:rsid w:val="002732DD"/>
    <w:rsid w:val="002825BD"/>
    <w:rsid w:val="00284528"/>
    <w:rsid w:val="0028462E"/>
    <w:rsid w:val="002847EA"/>
    <w:rsid w:val="00285587"/>
    <w:rsid w:val="002864C6"/>
    <w:rsid w:val="00290BD7"/>
    <w:rsid w:val="002928F9"/>
    <w:rsid w:val="00296C2E"/>
    <w:rsid w:val="002A018C"/>
    <w:rsid w:val="002A0251"/>
    <w:rsid w:val="002A286B"/>
    <w:rsid w:val="002A61B0"/>
    <w:rsid w:val="002A72DE"/>
    <w:rsid w:val="002B418A"/>
    <w:rsid w:val="002C1829"/>
    <w:rsid w:val="002C20CF"/>
    <w:rsid w:val="002C4542"/>
    <w:rsid w:val="002D1F9C"/>
    <w:rsid w:val="002D2C8E"/>
    <w:rsid w:val="002D6A50"/>
    <w:rsid w:val="002D6DE6"/>
    <w:rsid w:val="002E0230"/>
    <w:rsid w:val="002E7446"/>
    <w:rsid w:val="002E7D31"/>
    <w:rsid w:val="003003CF"/>
    <w:rsid w:val="00303BC4"/>
    <w:rsid w:val="00305472"/>
    <w:rsid w:val="00313DAC"/>
    <w:rsid w:val="003153FF"/>
    <w:rsid w:val="003252AF"/>
    <w:rsid w:val="003276F1"/>
    <w:rsid w:val="00330FB2"/>
    <w:rsid w:val="00333184"/>
    <w:rsid w:val="00373DA9"/>
    <w:rsid w:val="003769C8"/>
    <w:rsid w:val="00380948"/>
    <w:rsid w:val="003838A7"/>
    <w:rsid w:val="003911C9"/>
    <w:rsid w:val="00391D35"/>
    <w:rsid w:val="00394FA5"/>
    <w:rsid w:val="00395227"/>
    <w:rsid w:val="003965EC"/>
    <w:rsid w:val="00396B4A"/>
    <w:rsid w:val="003B1205"/>
    <w:rsid w:val="003B252C"/>
    <w:rsid w:val="003D75CB"/>
    <w:rsid w:val="003E478B"/>
    <w:rsid w:val="003E4ED3"/>
    <w:rsid w:val="003E6942"/>
    <w:rsid w:val="003F7D2A"/>
    <w:rsid w:val="00401039"/>
    <w:rsid w:val="00401258"/>
    <w:rsid w:val="00403FEC"/>
    <w:rsid w:val="004051DC"/>
    <w:rsid w:val="00405BBA"/>
    <w:rsid w:val="004065B6"/>
    <w:rsid w:val="0042262F"/>
    <w:rsid w:val="004442CE"/>
    <w:rsid w:val="00446CC2"/>
    <w:rsid w:val="0044745F"/>
    <w:rsid w:val="00454B16"/>
    <w:rsid w:val="004555FD"/>
    <w:rsid w:val="0045767E"/>
    <w:rsid w:val="00457835"/>
    <w:rsid w:val="00461E5E"/>
    <w:rsid w:val="004639D6"/>
    <w:rsid w:val="00467979"/>
    <w:rsid w:val="004724B8"/>
    <w:rsid w:val="004731D9"/>
    <w:rsid w:val="00493B80"/>
    <w:rsid w:val="00495B41"/>
    <w:rsid w:val="0049656E"/>
    <w:rsid w:val="004969CB"/>
    <w:rsid w:val="004969CF"/>
    <w:rsid w:val="004A276D"/>
    <w:rsid w:val="004B0B9A"/>
    <w:rsid w:val="004C670D"/>
    <w:rsid w:val="004D148E"/>
    <w:rsid w:val="004F011F"/>
    <w:rsid w:val="004F139E"/>
    <w:rsid w:val="00501F49"/>
    <w:rsid w:val="00502AA2"/>
    <w:rsid w:val="005111F7"/>
    <w:rsid w:val="00516B2E"/>
    <w:rsid w:val="00520F71"/>
    <w:rsid w:val="00524C79"/>
    <w:rsid w:val="005361B1"/>
    <w:rsid w:val="00553F1B"/>
    <w:rsid w:val="0056091B"/>
    <w:rsid w:val="00565C56"/>
    <w:rsid w:val="00584E4F"/>
    <w:rsid w:val="00593922"/>
    <w:rsid w:val="00594AE7"/>
    <w:rsid w:val="005A01B9"/>
    <w:rsid w:val="005A0856"/>
    <w:rsid w:val="005A1CE4"/>
    <w:rsid w:val="005B1129"/>
    <w:rsid w:val="005E7FF1"/>
    <w:rsid w:val="006001BA"/>
    <w:rsid w:val="006154D2"/>
    <w:rsid w:val="00616E3B"/>
    <w:rsid w:val="006308D2"/>
    <w:rsid w:val="006359AF"/>
    <w:rsid w:val="006454BC"/>
    <w:rsid w:val="00647B08"/>
    <w:rsid w:val="006540DC"/>
    <w:rsid w:val="00660055"/>
    <w:rsid w:val="006629BD"/>
    <w:rsid w:val="006659EA"/>
    <w:rsid w:val="00670AA6"/>
    <w:rsid w:val="00674F77"/>
    <w:rsid w:val="0067571B"/>
    <w:rsid w:val="00676C29"/>
    <w:rsid w:val="00680A38"/>
    <w:rsid w:val="00683A88"/>
    <w:rsid w:val="00696DB8"/>
    <w:rsid w:val="006A2CBF"/>
    <w:rsid w:val="006A5945"/>
    <w:rsid w:val="006A5C68"/>
    <w:rsid w:val="006A70E6"/>
    <w:rsid w:val="006B000C"/>
    <w:rsid w:val="006B37E4"/>
    <w:rsid w:val="006B5C75"/>
    <w:rsid w:val="006B5D43"/>
    <w:rsid w:val="006C4265"/>
    <w:rsid w:val="006C457B"/>
    <w:rsid w:val="006C6302"/>
    <w:rsid w:val="006D3F93"/>
    <w:rsid w:val="006E03C9"/>
    <w:rsid w:val="006E6A6C"/>
    <w:rsid w:val="006F2238"/>
    <w:rsid w:val="006F5487"/>
    <w:rsid w:val="006F6844"/>
    <w:rsid w:val="00700114"/>
    <w:rsid w:val="007006E3"/>
    <w:rsid w:val="00700C0A"/>
    <w:rsid w:val="0070221F"/>
    <w:rsid w:val="0070408C"/>
    <w:rsid w:val="00720189"/>
    <w:rsid w:val="0072413B"/>
    <w:rsid w:val="007254F4"/>
    <w:rsid w:val="0072778E"/>
    <w:rsid w:val="00732989"/>
    <w:rsid w:val="0073488F"/>
    <w:rsid w:val="00744919"/>
    <w:rsid w:val="00744B8F"/>
    <w:rsid w:val="00746139"/>
    <w:rsid w:val="007567CA"/>
    <w:rsid w:val="00756E9F"/>
    <w:rsid w:val="007571F3"/>
    <w:rsid w:val="00762EB7"/>
    <w:rsid w:val="007679E5"/>
    <w:rsid w:val="00780657"/>
    <w:rsid w:val="00782EBA"/>
    <w:rsid w:val="00787B02"/>
    <w:rsid w:val="007A5CFA"/>
    <w:rsid w:val="007B39AF"/>
    <w:rsid w:val="007B4BA3"/>
    <w:rsid w:val="007B534A"/>
    <w:rsid w:val="007B6228"/>
    <w:rsid w:val="007B6FA0"/>
    <w:rsid w:val="007C4904"/>
    <w:rsid w:val="007C74BB"/>
    <w:rsid w:val="007C7916"/>
    <w:rsid w:val="007D0407"/>
    <w:rsid w:val="007D0935"/>
    <w:rsid w:val="007D1B96"/>
    <w:rsid w:val="007D2883"/>
    <w:rsid w:val="007E61BA"/>
    <w:rsid w:val="007F6B0C"/>
    <w:rsid w:val="00801E3C"/>
    <w:rsid w:val="0082486E"/>
    <w:rsid w:val="008326DC"/>
    <w:rsid w:val="00844A8B"/>
    <w:rsid w:val="00847706"/>
    <w:rsid w:val="0084778F"/>
    <w:rsid w:val="008561FC"/>
    <w:rsid w:val="00857987"/>
    <w:rsid w:val="00862483"/>
    <w:rsid w:val="00864CCD"/>
    <w:rsid w:val="00874518"/>
    <w:rsid w:val="00884A95"/>
    <w:rsid w:val="008862E2"/>
    <w:rsid w:val="008921A4"/>
    <w:rsid w:val="00895B3E"/>
    <w:rsid w:val="008A5AFA"/>
    <w:rsid w:val="008A5B8F"/>
    <w:rsid w:val="008A7E94"/>
    <w:rsid w:val="008B0EB0"/>
    <w:rsid w:val="008B4CC1"/>
    <w:rsid w:val="008B5DB7"/>
    <w:rsid w:val="008C556B"/>
    <w:rsid w:val="008C6A37"/>
    <w:rsid w:val="008E1700"/>
    <w:rsid w:val="008E5E01"/>
    <w:rsid w:val="008F07D0"/>
    <w:rsid w:val="008F2444"/>
    <w:rsid w:val="008F2665"/>
    <w:rsid w:val="00905D71"/>
    <w:rsid w:val="00910B4E"/>
    <w:rsid w:val="0092592E"/>
    <w:rsid w:val="00930F26"/>
    <w:rsid w:val="00932C8D"/>
    <w:rsid w:val="0093483A"/>
    <w:rsid w:val="00934A35"/>
    <w:rsid w:val="00941310"/>
    <w:rsid w:val="00942633"/>
    <w:rsid w:val="009446C4"/>
    <w:rsid w:val="00944983"/>
    <w:rsid w:val="00945E35"/>
    <w:rsid w:val="00946BA9"/>
    <w:rsid w:val="00950F5B"/>
    <w:rsid w:val="009541D9"/>
    <w:rsid w:val="0095509D"/>
    <w:rsid w:val="00956E0D"/>
    <w:rsid w:val="00957147"/>
    <w:rsid w:val="0095733B"/>
    <w:rsid w:val="009A2CF2"/>
    <w:rsid w:val="009C076C"/>
    <w:rsid w:val="009C23FF"/>
    <w:rsid w:val="009F06D9"/>
    <w:rsid w:val="00A03D2E"/>
    <w:rsid w:val="00A177C3"/>
    <w:rsid w:val="00A2062C"/>
    <w:rsid w:val="00A21BC6"/>
    <w:rsid w:val="00A25462"/>
    <w:rsid w:val="00A3080B"/>
    <w:rsid w:val="00A31F34"/>
    <w:rsid w:val="00A36994"/>
    <w:rsid w:val="00A43902"/>
    <w:rsid w:val="00A52A43"/>
    <w:rsid w:val="00A53707"/>
    <w:rsid w:val="00A56943"/>
    <w:rsid w:val="00A62D6F"/>
    <w:rsid w:val="00A645F2"/>
    <w:rsid w:val="00A6757D"/>
    <w:rsid w:val="00A75971"/>
    <w:rsid w:val="00A75E4E"/>
    <w:rsid w:val="00A911C9"/>
    <w:rsid w:val="00A946F8"/>
    <w:rsid w:val="00A961A3"/>
    <w:rsid w:val="00AA06CB"/>
    <w:rsid w:val="00AA2451"/>
    <w:rsid w:val="00AA3CD8"/>
    <w:rsid w:val="00AA47D7"/>
    <w:rsid w:val="00AB1D4D"/>
    <w:rsid w:val="00AB32D6"/>
    <w:rsid w:val="00AB3973"/>
    <w:rsid w:val="00AC2340"/>
    <w:rsid w:val="00AD2212"/>
    <w:rsid w:val="00AD3A26"/>
    <w:rsid w:val="00AE1CE7"/>
    <w:rsid w:val="00AF2404"/>
    <w:rsid w:val="00B00730"/>
    <w:rsid w:val="00B02578"/>
    <w:rsid w:val="00B06B98"/>
    <w:rsid w:val="00B428CA"/>
    <w:rsid w:val="00B441D5"/>
    <w:rsid w:val="00B4500E"/>
    <w:rsid w:val="00B50052"/>
    <w:rsid w:val="00B6434A"/>
    <w:rsid w:val="00B70CC1"/>
    <w:rsid w:val="00B75AA1"/>
    <w:rsid w:val="00B7641C"/>
    <w:rsid w:val="00B775A7"/>
    <w:rsid w:val="00B83537"/>
    <w:rsid w:val="00B839F4"/>
    <w:rsid w:val="00B84123"/>
    <w:rsid w:val="00B9421F"/>
    <w:rsid w:val="00B95E78"/>
    <w:rsid w:val="00BA3609"/>
    <w:rsid w:val="00BB4EBE"/>
    <w:rsid w:val="00BC1FD0"/>
    <w:rsid w:val="00BD0C18"/>
    <w:rsid w:val="00BD140E"/>
    <w:rsid w:val="00BE15CE"/>
    <w:rsid w:val="00BE3ECD"/>
    <w:rsid w:val="00C01747"/>
    <w:rsid w:val="00C01FF0"/>
    <w:rsid w:val="00C04A45"/>
    <w:rsid w:val="00C24EAB"/>
    <w:rsid w:val="00C367C3"/>
    <w:rsid w:val="00C37750"/>
    <w:rsid w:val="00C465A4"/>
    <w:rsid w:val="00C503A9"/>
    <w:rsid w:val="00C53C58"/>
    <w:rsid w:val="00C5657A"/>
    <w:rsid w:val="00C56940"/>
    <w:rsid w:val="00C57B89"/>
    <w:rsid w:val="00C627C4"/>
    <w:rsid w:val="00C76930"/>
    <w:rsid w:val="00C936FD"/>
    <w:rsid w:val="00C955AF"/>
    <w:rsid w:val="00C95D87"/>
    <w:rsid w:val="00C97063"/>
    <w:rsid w:val="00CA24B4"/>
    <w:rsid w:val="00CB1171"/>
    <w:rsid w:val="00CB45CE"/>
    <w:rsid w:val="00CD0720"/>
    <w:rsid w:val="00CD384B"/>
    <w:rsid w:val="00CD434D"/>
    <w:rsid w:val="00CD69CA"/>
    <w:rsid w:val="00CE3F31"/>
    <w:rsid w:val="00CE7401"/>
    <w:rsid w:val="00CF5E42"/>
    <w:rsid w:val="00CF7A7D"/>
    <w:rsid w:val="00D002D6"/>
    <w:rsid w:val="00D05A53"/>
    <w:rsid w:val="00D07331"/>
    <w:rsid w:val="00D11CE7"/>
    <w:rsid w:val="00D14B08"/>
    <w:rsid w:val="00D462AA"/>
    <w:rsid w:val="00D47FBB"/>
    <w:rsid w:val="00D52C45"/>
    <w:rsid w:val="00D61ACA"/>
    <w:rsid w:val="00D67FFD"/>
    <w:rsid w:val="00D72283"/>
    <w:rsid w:val="00D730AB"/>
    <w:rsid w:val="00D758E8"/>
    <w:rsid w:val="00D922B2"/>
    <w:rsid w:val="00DA2F2D"/>
    <w:rsid w:val="00DA64B0"/>
    <w:rsid w:val="00DA7A49"/>
    <w:rsid w:val="00DB3DDA"/>
    <w:rsid w:val="00DB5B27"/>
    <w:rsid w:val="00DB6570"/>
    <w:rsid w:val="00DB66BD"/>
    <w:rsid w:val="00DB7B94"/>
    <w:rsid w:val="00DC29FF"/>
    <w:rsid w:val="00DC3094"/>
    <w:rsid w:val="00DC382C"/>
    <w:rsid w:val="00DC46E4"/>
    <w:rsid w:val="00DC79A7"/>
    <w:rsid w:val="00DD0FAA"/>
    <w:rsid w:val="00DE4778"/>
    <w:rsid w:val="00DE6160"/>
    <w:rsid w:val="00DE7650"/>
    <w:rsid w:val="00E017EE"/>
    <w:rsid w:val="00E02214"/>
    <w:rsid w:val="00E351BF"/>
    <w:rsid w:val="00E42C4F"/>
    <w:rsid w:val="00E4330C"/>
    <w:rsid w:val="00E43F78"/>
    <w:rsid w:val="00E470E0"/>
    <w:rsid w:val="00E47DDB"/>
    <w:rsid w:val="00E52C0E"/>
    <w:rsid w:val="00E55B5F"/>
    <w:rsid w:val="00E6412D"/>
    <w:rsid w:val="00E6481C"/>
    <w:rsid w:val="00E6588E"/>
    <w:rsid w:val="00E65DFE"/>
    <w:rsid w:val="00E661F9"/>
    <w:rsid w:val="00E71428"/>
    <w:rsid w:val="00E7494E"/>
    <w:rsid w:val="00E94475"/>
    <w:rsid w:val="00EA565D"/>
    <w:rsid w:val="00EB13DB"/>
    <w:rsid w:val="00EC21D1"/>
    <w:rsid w:val="00ED1364"/>
    <w:rsid w:val="00EE1E8E"/>
    <w:rsid w:val="00EE3E2F"/>
    <w:rsid w:val="00F01AAC"/>
    <w:rsid w:val="00F02239"/>
    <w:rsid w:val="00F04C23"/>
    <w:rsid w:val="00F063BC"/>
    <w:rsid w:val="00F07344"/>
    <w:rsid w:val="00F07F3F"/>
    <w:rsid w:val="00F10343"/>
    <w:rsid w:val="00F133B4"/>
    <w:rsid w:val="00F17A3A"/>
    <w:rsid w:val="00F2448E"/>
    <w:rsid w:val="00F32431"/>
    <w:rsid w:val="00F36B38"/>
    <w:rsid w:val="00F40A83"/>
    <w:rsid w:val="00F434C7"/>
    <w:rsid w:val="00F43E2B"/>
    <w:rsid w:val="00F44E6A"/>
    <w:rsid w:val="00F472CF"/>
    <w:rsid w:val="00F475C5"/>
    <w:rsid w:val="00F55129"/>
    <w:rsid w:val="00F60940"/>
    <w:rsid w:val="00F60D98"/>
    <w:rsid w:val="00F622BD"/>
    <w:rsid w:val="00F62473"/>
    <w:rsid w:val="00F727B6"/>
    <w:rsid w:val="00F747DF"/>
    <w:rsid w:val="00F76F67"/>
    <w:rsid w:val="00F7723E"/>
    <w:rsid w:val="00F83ED9"/>
    <w:rsid w:val="00F91747"/>
    <w:rsid w:val="00F933C4"/>
    <w:rsid w:val="00F95792"/>
    <w:rsid w:val="00FA221E"/>
    <w:rsid w:val="00FA41B5"/>
    <w:rsid w:val="00FB0D2B"/>
    <w:rsid w:val="00FC6B5A"/>
    <w:rsid w:val="00FC7015"/>
    <w:rsid w:val="00FC74DB"/>
    <w:rsid w:val="00FD47AA"/>
    <w:rsid w:val="00FD75C6"/>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6EC30C8-BA76-4FDE-95AD-F7F37AA8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6F6844"/>
  </w:style>
  <w:style w:type="character" w:customStyle="1" w:styleId="EvidenceChar">
    <w:name w:val="Evidence Char"/>
    <w:link w:val="Evidence"/>
    <w:locked/>
    <w:rsid w:val="00B95E78"/>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95E78"/>
    <w:rPr>
      <w:rFonts w:ascii="Times New Roman" w:eastAsia="Times New Roman" w:hAnsi="Times New Roman"/>
      <w:b/>
      <w:bCs/>
      <w:color w:val="000000"/>
      <w:lang w:eastAsia="fr-FR"/>
    </w:rPr>
  </w:style>
  <w:style w:type="character" w:customStyle="1" w:styleId="card-preview">
    <w:name w:val="card-preview"/>
    <w:basedOn w:val="DefaultParagraphFont"/>
    <w:rsid w:val="002928F9"/>
  </w:style>
  <w:style w:type="character" w:customStyle="1" w:styleId="percent">
    <w:name w:val="percent"/>
    <w:basedOn w:val="DefaultParagraphFont"/>
    <w:rsid w:val="00292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9571093">
      <w:bodyDiv w:val="1"/>
      <w:marLeft w:val="0"/>
      <w:marRight w:val="0"/>
      <w:marTop w:val="0"/>
      <w:marBottom w:val="0"/>
      <w:divBdr>
        <w:top w:val="none" w:sz="0" w:space="0" w:color="auto"/>
        <w:left w:val="none" w:sz="0" w:space="0" w:color="auto"/>
        <w:bottom w:val="none" w:sz="0" w:space="0" w:color="auto"/>
        <w:right w:val="none" w:sz="0" w:space="0" w:color="auto"/>
      </w:divBdr>
    </w:div>
    <w:div w:id="25494636">
      <w:bodyDiv w:val="1"/>
      <w:marLeft w:val="0"/>
      <w:marRight w:val="0"/>
      <w:marTop w:val="0"/>
      <w:marBottom w:val="0"/>
      <w:divBdr>
        <w:top w:val="none" w:sz="0" w:space="0" w:color="auto"/>
        <w:left w:val="none" w:sz="0" w:space="0" w:color="auto"/>
        <w:bottom w:val="none" w:sz="0" w:space="0" w:color="auto"/>
        <w:right w:val="none" w:sz="0" w:space="0" w:color="auto"/>
      </w:divBdr>
    </w:div>
    <w:div w:id="42102014">
      <w:bodyDiv w:val="1"/>
      <w:marLeft w:val="0"/>
      <w:marRight w:val="0"/>
      <w:marTop w:val="0"/>
      <w:marBottom w:val="0"/>
      <w:divBdr>
        <w:top w:val="none" w:sz="0" w:space="0" w:color="auto"/>
        <w:left w:val="none" w:sz="0" w:space="0" w:color="auto"/>
        <w:bottom w:val="none" w:sz="0" w:space="0" w:color="auto"/>
        <w:right w:val="none" w:sz="0" w:space="0" w:color="auto"/>
      </w:divBdr>
    </w:div>
    <w:div w:id="45221255">
      <w:bodyDiv w:val="1"/>
      <w:marLeft w:val="0"/>
      <w:marRight w:val="0"/>
      <w:marTop w:val="0"/>
      <w:marBottom w:val="0"/>
      <w:divBdr>
        <w:top w:val="none" w:sz="0" w:space="0" w:color="auto"/>
        <w:left w:val="none" w:sz="0" w:space="0" w:color="auto"/>
        <w:bottom w:val="none" w:sz="0" w:space="0" w:color="auto"/>
        <w:right w:val="none" w:sz="0" w:space="0" w:color="auto"/>
      </w:divBdr>
    </w:div>
    <w:div w:id="50814106">
      <w:bodyDiv w:val="1"/>
      <w:marLeft w:val="0"/>
      <w:marRight w:val="0"/>
      <w:marTop w:val="0"/>
      <w:marBottom w:val="0"/>
      <w:divBdr>
        <w:top w:val="none" w:sz="0" w:space="0" w:color="auto"/>
        <w:left w:val="none" w:sz="0" w:space="0" w:color="auto"/>
        <w:bottom w:val="none" w:sz="0" w:space="0" w:color="auto"/>
        <w:right w:val="none" w:sz="0" w:space="0" w:color="auto"/>
      </w:divBdr>
    </w:div>
    <w:div w:id="55588129">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5782034">
      <w:bodyDiv w:val="1"/>
      <w:marLeft w:val="0"/>
      <w:marRight w:val="0"/>
      <w:marTop w:val="0"/>
      <w:marBottom w:val="0"/>
      <w:divBdr>
        <w:top w:val="none" w:sz="0" w:space="0" w:color="auto"/>
        <w:left w:val="none" w:sz="0" w:space="0" w:color="auto"/>
        <w:bottom w:val="none" w:sz="0" w:space="0" w:color="auto"/>
        <w:right w:val="none" w:sz="0" w:space="0" w:color="auto"/>
      </w:divBdr>
    </w:div>
    <w:div w:id="67122330">
      <w:bodyDiv w:val="1"/>
      <w:marLeft w:val="0"/>
      <w:marRight w:val="0"/>
      <w:marTop w:val="0"/>
      <w:marBottom w:val="0"/>
      <w:divBdr>
        <w:top w:val="none" w:sz="0" w:space="0" w:color="auto"/>
        <w:left w:val="none" w:sz="0" w:space="0" w:color="auto"/>
        <w:bottom w:val="none" w:sz="0" w:space="0" w:color="auto"/>
        <w:right w:val="none" w:sz="0" w:space="0" w:color="auto"/>
      </w:divBdr>
    </w:div>
    <w:div w:id="71201942">
      <w:bodyDiv w:val="1"/>
      <w:marLeft w:val="0"/>
      <w:marRight w:val="0"/>
      <w:marTop w:val="0"/>
      <w:marBottom w:val="0"/>
      <w:divBdr>
        <w:top w:val="none" w:sz="0" w:space="0" w:color="auto"/>
        <w:left w:val="none" w:sz="0" w:space="0" w:color="auto"/>
        <w:bottom w:val="none" w:sz="0" w:space="0" w:color="auto"/>
        <w:right w:val="none" w:sz="0" w:space="0" w:color="auto"/>
      </w:divBdr>
      <w:divsChild>
        <w:div w:id="1614163908">
          <w:marLeft w:val="0"/>
          <w:marRight w:val="0"/>
          <w:marTop w:val="0"/>
          <w:marBottom w:val="0"/>
          <w:divBdr>
            <w:top w:val="none" w:sz="0" w:space="0" w:color="auto"/>
            <w:left w:val="none" w:sz="0" w:space="0" w:color="auto"/>
            <w:bottom w:val="none" w:sz="0" w:space="0" w:color="auto"/>
            <w:right w:val="none" w:sz="0" w:space="0" w:color="auto"/>
          </w:divBdr>
          <w:divsChild>
            <w:div w:id="109008561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2341651">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5899691">
      <w:bodyDiv w:val="1"/>
      <w:marLeft w:val="0"/>
      <w:marRight w:val="0"/>
      <w:marTop w:val="0"/>
      <w:marBottom w:val="0"/>
      <w:divBdr>
        <w:top w:val="none" w:sz="0" w:space="0" w:color="auto"/>
        <w:left w:val="none" w:sz="0" w:space="0" w:color="auto"/>
        <w:bottom w:val="none" w:sz="0" w:space="0" w:color="auto"/>
        <w:right w:val="none" w:sz="0" w:space="0" w:color="auto"/>
      </w:divBdr>
    </w:div>
    <w:div w:id="126289017">
      <w:bodyDiv w:val="1"/>
      <w:marLeft w:val="0"/>
      <w:marRight w:val="0"/>
      <w:marTop w:val="0"/>
      <w:marBottom w:val="0"/>
      <w:divBdr>
        <w:top w:val="none" w:sz="0" w:space="0" w:color="auto"/>
        <w:left w:val="none" w:sz="0" w:space="0" w:color="auto"/>
        <w:bottom w:val="none" w:sz="0" w:space="0" w:color="auto"/>
        <w:right w:val="none" w:sz="0" w:space="0" w:color="auto"/>
      </w:divBdr>
    </w:div>
    <w:div w:id="131295482">
      <w:bodyDiv w:val="1"/>
      <w:marLeft w:val="0"/>
      <w:marRight w:val="0"/>
      <w:marTop w:val="0"/>
      <w:marBottom w:val="0"/>
      <w:divBdr>
        <w:top w:val="none" w:sz="0" w:space="0" w:color="auto"/>
        <w:left w:val="none" w:sz="0" w:space="0" w:color="auto"/>
        <w:bottom w:val="none" w:sz="0" w:space="0" w:color="auto"/>
        <w:right w:val="none" w:sz="0" w:space="0" w:color="auto"/>
      </w:divBdr>
    </w:div>
    <w:div w:id="133372538">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9067">
      <w:bodyDiv w:val="1"/>
      <w:marLeft w:val="0"/>
      <w:marRight w:val="0"/>
      <w:marTop w:val="0"/>
      <w:marBottom w:val="0"/>
      <w:divBdr>
        <w:top w:val="none" w:sz="0" w:space="0" w:color="auto"/>
        <w:left w:val="none" w:sz="0" w:space="0" w:color="auto"/>
        <w:bottom w:val="none" w:sz="0" w:space="0" w:color="auto"/>
        <w:right w:val="none" w:sz="0" w:space="0" w:color="auto"/>
      </w:divBdr>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6193324">
      <w:bodyDiv w:val="1"/>
      <w:marLeft w:val="0"/>
      <w:marRight w:val="0"/>
      <w:marTop w:val="0"/>
      <w:marBottom w:val="0"/>
      <w:divBdr>
        <w:top w:val="none" w:sz="0" w:space="0" w:color="auto"/>
        <w:left w:val="none" w:sz="0" w:space="0" w:color="auto"/>
        <w:bottom w:val="none" w:sz="0" w:space="0" w:color="auto"/>
        <w:right w:val="none" w:sz="0" w:space="0" w:color="auto"/>
      </w:divBdr>
    </w:div>
    <w:div w:id="178277327">
      <w:bodyDiv w:val="1"/>
      <w:marLeft w:val="0"/>
      <w:marRight w:val="0"/>
      <w:marTop w:val="0"/>
      <w:marBottom w:val="0"/>
      <w:divBdr>
        <w:top w:val="none" w:sz="0" w:space="0" w:color="auto"/>
        <w:left w:val="none" w:sz="0" w:space="0" w:color="auto"/>
        <w:bottom w:val="none" w:sz="0" w:space="0" w:color="auto"/>
        <w:right w:val="none" w:sz="0" w:space="0" w:color="auto"/>
      </w:divBdr>
    </w:div>
    <w:div w:id="182282666">
      <w:bodyDiv w:val="1"/>
      <w:marLeft w:val="0"/>
      <w:marRight w:val="0"/>
      <w:marTop w:val="0"/>
      <w:marBottom w:val="0"/>
      <w:divBdr>
        <w:top w:val="none" w:sz="0" w:space="0" w:color="auto"/>
        <w:left w:val="none" w:sz="0" w:space="0" w:color="auto"/>
        <w:bottom w:val="none" w:sz="0" w:space="0" w:color="auto"/>
        <w:right w:val="none" w:sz="0" w:space="0" w:color="auto"/>
      </w:divBdr>
    </w:div>
    <w:div w:id="185676316">
      <w:bodyDiv w:val="1"/>
      <w:marLeft w:val="0"/>
      <w:marRight w:val="0"/>
      <w:marTop w:val="0"/>
      <w:marBottom w:val="0"/>
      <w:divBdr>
        <w:top w:val="none" w:sz="0" w:space="0" w:color="auto"/>
        <w:left w:val="none" w:sz="0" w:space="0" w:color="auto"/>
        <w:bottom w:val="none" w:sz="0" w:space="0" w:color="auto"/>
        <w:right w:val="none" w:sz="0" w:space="0" w:color="auto"/>
      </w:divBdr>
    </w:div>
    <w:div w:id="186607854">
      <w:bodyDiv w:val="1"/>
      <w:marLeft w:val="0"/>
      <w:marRight w:val="0"/>
      <w:marTop w:val="0"/>
      <w:marBottom w:val="0"/>
      <w:divBdr>
        <w:top w:val="none" w:sz="0" w:space="0" w:color="auto"/>
        <w:left w:val="none" w:sz="0" w:space="0" w:color="auto"/>
        <w:bottom w:val="none" w:sz="0" w:space="0" w:color="auto"/>
        <w:right w:val="none" w:sz="0" w:space="0" w:color="auto"/>
      </w:divBdr>
      <w:divsChild>
        <w:div w:id="1407460593">
          <w:marLeft w:val="0"/>
          <w:marRight w:val="0"/>
          <w:marTop w:val="0"/>
          <w:marBottom w:val="0"/>
          <w:divBdr>
            <w:top w:val="none" w:sz="0" w:space="0" w:color="auto"/>
            <w:left w:val="none" w:sz="0" w:space="0" w:color="auto"/>
            <w:bottom w:val="none" w:sz="0" w:space="0" w:color="auto"/>
            <w:right w:val="none" w:sz="0" w:space="0" w:color="auto"/>
          </w:divBdr>
          <w:divsChild>
            <w:div w:id="16278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2645">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154201">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4412596">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0165958">
      <w:bodyDiv w:val="1"/>
      <w:marLeft w:val="0"/>
      <w:marRight w:val="0"/>
      <w:marTop w:val="0"/>
      <w:marBottom w:val="0"/>
      <w:divBdr>
        <w:top w:val="none" w:sz="0" w:space="0" w:color="auto"/>
        <w:left w:val="none" w:sz="0" w:space="0" w:color="auto"/>
        <w:bottom w:val="none" w:sz="0" w:space="0" w:color="auto"/>
        <w:right w:val="none" w:sz="0" w:space="0" w:color="auto"/>
      </w:divBdr>
    </w:div>
    <w:div w:id="250816415">
      <w:bodyDiv w:val="1"/>
      <w:marLeft w:val="0"/>
      <w:marRight w:val="0"/>
      <w:marTop w:val="0"/>
      <w:marBottom w:val="0"/>
      <w:divBdr>
        <w:top w:val="none" w:sz="0" w:space="0" w:color="auto"/>
        <w:left w:val="none" w:sz="0" w:space="0" w:color="auto"/>
        <w:bottom w:val="none" w:sz="0" w:space="0" w:color="auto"/>
        <w:right w:val="none" w:sz="0" w:space="0" w:color="auto"/>
      </w:divBdr>
    </w:div>
    <w:div w:id="256252692">
      <w:bodyDiv w:val="1"/>
      <w:marLeft w:val="0"/>
      <w:marRight w:val="0"/>
      <w:marTop w:val="0"/>
      <w:marBottom w:val="0"/>
      <w:divBdr>
        <w:top w:val="none" w:sz="0" w:space="0" w:color="auto"/>
        <w:left w:val="none" w:sz="0" w:space="0" w:color="auto"/>
        <w:bottom w:val="none" w:sz="0" w:space="0" w:color="auto"/>
        <w:right w:val="none" w:sz="0" w:space="0" w:color="auto"/>
      </w:divBdr>
    </w:div>
    <w:div w:id="257448008">
      <w:bodyDiv w:val="1"/>
      <w:marLeft w:val="0"/>
      <w:marRight w:val="0"/>
      <w:marTop w:val="0"/>
      <w:marBottom w:val="0"/>
      <w:divBdr>
        <w:top w:val="none" w:sz="0" w:space="0" w:color="auto"/>
        <w:left w:val="none" w:sz="0" w:space="0" w:color="auto"/>
        <w:bottom w:val="none" w:sz="0" w:space="0" w:color="auto"/>
        <w:right w:val="none" w:sz="0" w:space="0" w:color="auto"/>
      </w:divBdr>
    </w:div>
    <w:div w:id="26673801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490779">
      <w:bodyDiv w:val="1"/>
      <w:marLeft w:val="0"/>
      <w:marRight w:val="0"/>
      <w:marTop w:val="0"/>
      <w:marBottom w:val="0"/>
      <w:divBdr>
        <w:top w:val="none" w:sz="0" w:space="0" w:color="auto"/>
        <w:left w:val="none" w:sz="0" w:space="0" w:color="auto"/>
        <w:bottom w:val="none" w:sz="0" w:space="0" w:color="auto"/>
        <w:right w:val="none" w:sz="0" w:space="0" w:color="auto"/>
      </w:divBdr>
    </w:div>
    <w:div w:id="302345090">
      <w:bodyDiv w:val="1"/>
      <w:marLeft w:val="0"/>
      <w:marRight w:val="0"/>
      <w:marTop w:val="0"/>
      <w:marBottom w:val="0"/>
      <w:divBdr>
        <w:top w:val="none" w:sz="0" w:space="0" w:color="auto"/>
        <w:left w:val="none" w:sz="0" w:space="0" w:color="auto"/>
        <w:bottom w:val="none" w:sz="0" w:space="0" w:color="auto"/>
        <w:right w:val="none" w:sz="0" w:space="0" w:color="auto"/>
      </w:divBdr>
    </w:div>
    <w:div w:id="309136408">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21388">
      <w:bodyDiv w:val="1"/>
      <w:marLeft w:val="0"/>
      <w:marRight w:val="0"/>
      <w:marTop w:val="0"/>
      <w:marBottom w:val="0"/>
      <w:divBdr>
        <w:top w:val="none" w:sz="0" w:space="0" w:color="auto"/>
        <w:left w:val="none" w:sz="0" w:space="0" w:color="auto"/>
        <w:bottom w:val="none" w:sz="0" w:space="0" w:color="auto"/>
        <w:right w:val="none" w:sz="0" w:space="0" w:color="auto"/>
      </w:divBdr>
      <w:divsChild>
        <w:div w:id="1048190560">
          <w:marLeft w:val="0"/>
          <w:marRight w:val="0"/>
          <w:marTop w:val="0"/>
          <w:marBottom w:val="0"/>
          <w:divBdr>
            <w:top w:val="none" w:sz="0" w:space="0" w:color="auto"/>
            <w:left w:val="none" w:sz="0" w:space="0" w:color="auto"/>
            <w:bottom w:val="none" w:sz="0" w:space="0" w:color="auto"/>
            <w:right w:val="none" w:sz="0" w:space="0" w:color="auto"/>
          </w:divBdr>
        </w:div>
      </w:divsChild>
    </w:div>
    <w:div w:id="348995332">
      <w:bodyDiv w:val="1"/>
      <w:marLeft w:val="0"/>
      <w:marRight w:val="0"/>
      <w:marTop w:val="0"/>
      <w:marBottom w:val="0"/>
      <w:divBdr>
        <w:top w:val="none" w:sz="0" w:space="0" w:color="auto"/>
        <w:left w:val="none" w:sz="0" w:space="0" w:color="auto"/>
        <w:bottom w:val="none" w:sz="0" w:space="0" w:color="auto"/>
        <w:right w:val="none" w:sz="0" w:space="0" w:color="auto"/>
      </w:divBdr>
    </w:div>
    <w:div w:id="352656799">
      <w:bodyDiv w:val="1"/>
      <w:marLeft w:val="0"/>
      <w:marRight w:val="0"/>
      <w:marTop w:val="0"/>
      <w:marBottom w:val="0"/>
      <w:divBdr>
        <w:top w:val="none" w:sz="0" w:space="0" w:color="auto"/>
        <w:left w:val="none" w:sz="0" w:space="0" w:color="auto"/>
        <w:bottom w:val="none" w:sz="0" w:space="0" w:color="auto"/>
        <w:right w:val="none" w:sz="0" w:space="0" w:color="auto"/>
      </w:divBdr>
    </w:div>
    <w:div w:id="356809682">
      <w:bodyDiv w:val="1"/>
      <w:marLeft w:val="0"/>
      <w:marRight w:val="0"/>
      <w:marTop w:val="0"/>
      <w:marBottom w:val="0"/>
      <w:divBdr>
        <w:top w:val="none" w:sz="0" w:space="0" w:color="auto"/>
        <w:left w:val="none" w:sz="0" w:space="0" w:color="auto"/>
        <w:bottom w:val="none" w:sz="0" w:space="0" w:color="auto"/>
        <w:right w:val="none" w:sz="0" w:space="0" w:color="auto"/>
      </w:divBdr>
    </w:div>
    <w:div w:id="361901061">
      <w:bodyDiv w:val="1"/>
      <w:marLeft w:val="0"/>
      <w:marRight w:val="0"/>
      <w:marTop w:val="0"/>
      <w:marBottom w:val="0"/>
      <w:divBdr>
        <w:top w:val="none" w:sz="0" w:space="0" w:color="auto"/>
        <w:left w:val="none" w:sz="0" w:space="0" w:color="auto"/>
        <w:bottom w:val="none" w:sz="0" w:space="0" w:color="auto"/>
        <w:right w:val="none" w:sz="0" w:space="0" w:color="auto"/>
      </w:divBdr>
    </w:div>
    <w:div w:id="362248370">
      <w:bodyDiv w:val="1"/>
      <w:marLeft w:val="0"/>
      <w:marRight w:val="0"/>
      <w:marTop w:val="0"/>
      <w:marBottom w:val="0"/>
      <w:divBdr>
        <w:top w:val="none" w:sz="0" w:space="0" w:color="auto"/>
        <w:left w:val="none" w:sz="0" w:space="0" w:color="auto"/>
        <w:bottom w:val="none" w:sz="0" w:space="0" w:color="auto"/>
        <w:right w:val="none" w:sz="0" w:space="0" w:color="auto"/>
      </w:divBdr>
    </w:div>
    <w:div w:id="368536429">
      <w:bodyDiv w:val="1"/>
      <w:marLeft w:val="0"/>
      <w:marRight w:val="0"/>
      <w:marTop w:val="0"/>
      <w:marBottom w:val="0"/>
      <w:divBdr>
        <w:top w:val="none" w:sz="0" w:space="0" w:color="auto"/>
        <w:left w:val="none" w:sz="0" w:space="0" w:color="auto"/>
        <w:bottom w:val="none" w:sz="0" w:space="0" w:color="auto"/>
        <w:right w:val="none" w:sz="0" w:space="0" w:color="auto"/>
      </w:divBdr>
    </w:div>
    <w:div w:id="379717604">
      <w:bodyDiv w:val="1"/>
      <w:marLeft w:val="0"/>
      <w:marRight w:val="0"/>
      <w:marTop w:val="0"/>
      <w:marBottom w:val="0"/>
      <w:divBdr>
        <w:top w:val="none" w:sz="0" w:space="0" w:color="auto"/>
        <w:left w:val="none" w:sz="0" w:space="0" w:color="auto"/>
        <w:bottom w:val="none" w:sz="0" w:space="0" w:color="auto"/>
        <w:right w:val="none" w:sz="0" w:space="0" w:color="auto"/>
      </w:divBdr>
    </w:div>
    <w:div w:id="39670889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01641">
      <w:bodyDiv w:val="1"/>
      <w:marLeft w:val="0"/>
      <w:marRight w:val="0"/>
      <w:marTop w:val="0"/>
      <w:marBottom w:val="0"/>
      <w:divBdr>
        <w:top w:val="none" w:sz="0" w:space="0" w:color="auto"/>
        <w:left w:val="none" w:sz="0" w:space="0" w:color="auto"/>
        <w:bottom w:val="none" w:sz="0" w:space="0" w:color="auto"/>
        <w:right w:val="none" w:sz="0" w:space="0" w:color="auto"/>
      </w:divBdr>
    </w:div>
    <w:div w:id="428545401">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8643945">
      <w:bodyDiv w:val="1"/>
      <w:marLeft w:val="0"/>
      <w:marRight w:val="0"/>
      <w:marTop w:val="0"/>
      <w:marBottom w:val="0"/>
      <w:divBdr>
        <w:top w:val="none" w:sz="0" w:space="0" w:color="auto"/>
        <w:left w:val="none" w:sz="0" w:space="0" w:color="auto"/>
        <w:bottom w:val="none" w:sz="0" w:space="0" w:color="auto"/>
        <w:right w:val="none" w:sz="0" w:space="0" w:color="auto"/>
      </w:divBdr>
    </w:div>
    <w:div w:id="471606315">
      <w:bodyDiv w:val="1"/>
      <w:marLeft w:val="0"/>
      <w:marRight w:val="0"/>
      <w:marTop w:val="0"/>
      <w:marBottom w:val="0"/>
      <w:divBdr>
        <w:top w:val="none" w:sz="0" w:space="0" w:color="auto"/>
        <w:left w:val="none" w:sz="0" w:space="0" w:color="auto"/>
        <w:bottom w:val="none" w:sz="0" w:space="0" w:color="auto"/>
        <w:right w:val="none" w:sz="0" w:space="0" w:color="auto"/>
      </w:divBdr>
      <w:divsChild>
        <w:div w:id="1177189525">
          <w:marLeft w:val="0"/>
          <w:marRight w:val="0"/>
          <w:marTop w:val="0"/>
          <w:marBottom w:val="0"/>
          <w:divBdr>
            <w:top w:val="none" w:sz="0" w:space="0" w:color="auto"/>
            <w:left w:val="none" w:sz="0" w:space="0" w:color="auto"/>
            <w:bottom w:val="none" w:sz="0" w:space="0" w:color="auto"/>
            <w:right w:val="none" w:sz="0" w:space="0" w:color="auto"/>
          </w:divBdr>
        </w:div>
      </w:divsChild>
    </w:div>
    <w:div w:id="475225309">
      <w:bodyDiv w:val="1"/>
      <w:marLeft w:val="0"/>
      <w:marRight w:val="0"/>
      <w:marTop w:val="0"/>
      <w:marBottom w:val="0"/>
      <w:divBdr>
        <w:top w:val="none" w:sz="0" w:space="0" w:color="auto"/>
        <w:left w:val="none" w:sz="0" w:space="0" w:color="auto"/>
        <w:bottom w:val="none" w:sz="0" w:space="0" w:color="auto"/>
        <w:right w:val="none" w:sz="0" w:space="0" w:color="auto"/>
      </w:divBdr>
    </w:div>
    <w:div w:id="48085376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6077">
      <w:bodyDiv w:val="1"/>
      <w:marLeft w:val="0"/>
      <w:marRight w:val="0"/>
      <w:marTop w:val="0"/>
      <w:marBottom w:val="0"/>
      <w:divBdr>
        <w:top w:val="none" w:sz="0" w:space="0" w:color="auto"/>
        <w:left w:val="none" w:sz="0" w:space="0" w:color="auto"/>
        <w:bottom w:val="none" w:sz="0" w:space="0" w:color="auto"/>
        <w:right w:val="none" w:sz="0" w:space="0" w:color="auto"/>
      </w:divBdr>
      <w:divsChild>
        <w:div w:id="609778771">
          <w:marLeft w:val="0"/>
          <w:marRight w:val="0"/>
          <w:marTop w:val="0"/>
          <w:marBottom w:val="0"/>
          <w:divBdr>
            <w:top w:val="none" w:sz="0" w:space="0" w:color="auto"/>
            <w:left w:val="none" w:sz="0" w:space="0" w:color="auto"/>
            <w:bottom w:val="none" w:sz="0" w:space="0" w:color="auto"/>
            <w:right w:val="none" w:sz="0" w:space="0" w:color="auto"/>
          </w:divBdr>
        </w:div>
      </w:divsChild>
    </w:div>
    <w:div w:id="48412439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759938">
      <w:bodyDiv w:val="1"/>
      <w:marLeft w:val="0"/>
      <w:marRight w:val="0"/>
      <w:marTop w:val="0"/>
      <w:marBottom w:val="0"/>
      <w:divBdr>
        <w:top w:val="none" w:sz="0" w:space="0" w:color="auto"/>
        <w:left w:val="none" w:sz="0" w:space="0" w:color="auto"/>
        <w:bottom w:val="none" w:sz="0" w:space="0" w:color="auto"/>
        <w:right w:val="none" w:sz="0" w:space="0" w:color="auto"/>
      </w:divBdr>
    </w:div>
    <w:div w:id="49357036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8759308">
      <w:bodyDiv w:val="1"/>
      <w:marLeft w:val="0"/>
      <w:marRight w:val="0"/>
      <w:marTop w:val="0"/>
      <w:marBottom w:val="0"/>
      <w:divBdr>
        <w:top w:val="none" w:sz="0" w:space="0" w:color="auto"/>
        <w:left w:val="none" w:sz="0" w:space="0" w:color="auto"/>
        <w:bottom w:val="none" w:sz="0" w:space="0" w:color="auto"/>
        <w:right w:val="none" w:sz="0" w:space="0" w:color="auto"/>
      </w:divBdr>
    </w:div>
    <w:div w:id="50929337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13956758">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4780934">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901011">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0845275">
      <w:bodyDiv w:val="1"/>
      <w:marLeft w:val="0"/>
      <w:marRight w:val="0"/>
      <w:marTop w:val="0"/>
      <w:marBottom w:val="0"/>
      <w:divBdr>
        <w:top w:val="none" w:sz="0" w:space="0" w:color="auto"/>
        <w:left w:val="none" w:sz="0" w:space="0" w:color="auto"/>
        <w:bottom w:val="none" w:sz="0" w:space="0" w:color="auto"/>
        <w:right w:val="none" w:sz="0" w:space="0" w:color="auto"/>
      </w:divBdr>
    </w:div>
    <w:div w:id="581525762">
      <w:bodyDiv w:val="1"/>
      <w:marLeft w:val="0"/>
      <w:marRight w:val="0"/>
      <w:marTop w:val="0"/>
      <w:marBottom w:val="0"/>
      <w:divBdr>
        <w:top w:val="none" w:sz="0" w:space="0" w:color="auto"/>
        <w:left w:val="none" w:sz="0" w:space="0" w:color="auto"/>
        <w:bottom w:val="none" w:sz="0" w:space="0" w:color="auto"/>
        <w:right w:val="none" w:sz="0" w:space="0" w:color="auto"/>
      </w:divBdr>
    </w:div>
    <w:div w:id="597563537">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3271891">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382934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38437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35530392">
      <w:bodyDiv w:val="1"/>
      <w:marLeft w:val="0"/>
      <w:marRight w:val="0"/>
      <w:marTop w:val="0"/>
      <w:marBottom w:val="0"/>
      <w:divBdr>
        <w:top w:val="none" w:sz="0" w:space="0" w:color="auto"/>
        <w:left w:val="none" w:sz="0" w:space="0" w:color="auto"/>
        <w:bottom w:val="none" w:sz="0" w:space="0" w:color="auto"/>
        <w:right w:val="none" w:sz="0" w:space="0" w:color="auto"/>
      </w:divBdr>
    </w:div>
    <w:div w:id="663316613">
      <w:bodyDiv w:val="1"/>
      <w:marLeft w:val="0"/>
      <w:marRight w:val="0"/>
      <w:marTop w:val="0"/>
      <w:marBottom w:val="0"/>
      <w:divBdr>
        <w:top w:val="none" w:sz="0" w:space="0" w:color="auto"/>
        <w:left w:val="none" w:sz="0" w:space="0" w:color="auto"/>
        <w:bottom w:val="none" w:sz="0" w:space="0" w:color="auto"/>
        <w:right w:val="none" w:sz="0" w:space="0" w:color="auto"/>
      </w:divBdr>
    </w:div>
    <w:div w:id="672222145">
      <w:bodyDiv w:val="1"/>
      <w:marLeft w:val="0"/>
      <w:marRight w:val="0"/>
      <w:marTop w:val="0"/>
      <w:marBottom w:val="0"/>
      <w:divBdr>
        <w:top w:val="none" w:sz="0" w:space="0" w:color="auto"/>
        <w:left w:val="none" w:sz="0" w:space="0" w:color="auto"/>
        <w:bottom w:val="none" w:sz="0" w:space="0" w:color="auto"/>
        <w:right w:val="none" w:sz="0" w:space="0" w:color="auto"/>
      </w:divBdr>
    </w:div>
    <w:div w:id="67457274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0736931">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7296818">
      <w:bodyDiv w:val="1"/>
      <w:marLeft w:val="0"/>
      <w:marRight w:val="0"/>
      <w:marTop w:val="0"/>
      <w:marBottom w:val="0"/>
      <w:divBdr>
        <w:top w:val="none" w:sz="0" w:space="0" w:color="auto"/>
        <w:left w:val="none" w:sz="0" w:space="0" w:color="auto"/>
        <w:bottom w:val="none" w:sz="0" w:space="0" w:color="auto"/>
        <w:right w:val="none" w:sz="0" w:space="0" w:color="auto"/>
      </w:divBdr>
    </w:div>
    <w:div w:id="69986503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4237560">
      <w:bodyDiv w:val="1"/>
      <w:marLeft w:val="0"/>
      <w:marRight w:val="0"/>
      <w:marTop w:val="0"/>
      <w:marBottom w:val="0"/>
      <w:divBdr>
        <w:top w:val="none" w:sz="0" w:space="0" w:color="auto"/>
        <w:left w:val="none" w:sz="0" w:space="0" w:color="auto"/>
        <w:bottom w:val="none" w:sz="0" w:space="0" w:color="auto"/>
        <w:right w:val="none" w:sz="0" w:space="0" w:color="auto"/>
      </w:divBdr>
    </w:div>
    <w:div w:id="719481068">
      <w:bodyDiv w:val="1"/>
      <w:marLeft w:val="0"/>
      <w:marRight w:val="0"/>
      <w:marTop w:val="0"/>
      <w:marBottom w:val="0"/>
      <w:divBdr>
        <w:top w:val="none" w:sz="0" w:space="0" w:color="auto"/>
        <w:left w:val="none" w:sz="0" w:space="0" w:color="auto"/>
        <w:bottom w:val="none" w:sz="0" w:space="0" w:color="auto"/>
        <w:right w:val="none" w:sz="0" w:space="0" w:color="auto"/>
      </w:divBdr>
    </w:div>
    <w:div w:id="719595348">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8551181">
      <w:bodyDiv w:val="1"/>
      <w:marLeft w:val="0"/>
      <w:marRight w:val="0"/>
      <w:marTop w:val="0"/>
      <w:marBottom w:val="0"/>
      <w:divBdr>
        <w:top w:val="none" w:sz="0" w:space="0" w:color="auto"/>
        <w:left w:val="none" w:sz="0" w:space="0" w:color="auto"/>
        <w:bottom w:val="none" w:sz="0" w:space="0" w:color="auto"/>
        <w:right w:val="none" w:sz="0" w:space="0" w:color="auto"/>
      </w:divBdr>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57019091">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120084">
      <w:bodyDiv w:val="1"/>
      <w:marLeft w:val="0"/>
      <w:marRight w:val="0"/>
      <w:marTop w:val="0"/>
      <w:marBottom w:val="0"/>
      <w:divBdr>
        <w:top w:val="none" w:sz="0" w:space="0" w:color="auto"/>
        <w:left w:val="none" w:sz="0" w:space="0" w:color="auto"/>
        <w:bottom w:val="none" w:sz="0" w:space="0" w:color="auto"/>
        <w:right w:val="none" w:sz="0" w:space="0" w:color="auto"/>
      </w:divBdr>
    </w:div>
    <w:div w:id="769398396">
      <w:bodyDiv w:val="1"/>
      <w:marLeft w:val="0"/>
      <w:marRight w:val="0"/>
      <w:marTop w:val="0"/>
      <w:marBottom w:val="0"/>
      <w:divBdr>
        <w:top w:val="none" w:sz="0" w:space="0" w:color="auto"/>
        <w:left w:val="none" w:sz="0" w:space="0" w:color="auto"/>
        <w:bottom w:val="none" w:sz="0" w:space="0" w:color="auto"/>
        <w:right w:val="none" w:sz="0" w:space="0" w:color="auto"/>
      </w:divBdr>
    </w:div>
    <w:div w:id="772165321">
      <w:bodyDiv w:val="1"/>
      <w:marLeft w:val="0"/>
      <w:marRight w:val="0"/>
      <w:marTop w:val="0"/>
      <w:marBottom w:val="0"/>
      <w:divBdr>
        <w:top w:val="none" w:sz="0" w:space="0" w:color="auto"/>
        <w:left w:val="none" w:sz="0" w:space="0" w:color="auto"/>
        <w:bottom w:val="none" w:sz="0" w:space="0" w:color="auto"/>
        <w:right w:val="none" w:sz="0" w:space="0" w:color="auto"/>
      </w:divBdr>
    </w:div>
    <w:div w:id="777531210">
      <w:bodyDiv w:val="1"/>
      <w:marLeft w:val="0"/>
      <w:marRight w:val="0"/>
      <w:marTop w:val="0"/>
      <w:marBottom w:val="0"/>
      <w:divBdr>
        <w:top w:val="none" w:sz="0" w:space="0" w:color="auto"/>
        <w:left w:val="none" w:sz="0" w:space="0" w:color="auto"/>
        <w:bottom w:val="none" w:sz="0" w:space="0" w:color="auto"/>
        <w:right w:val="none" w:sz="0" w:space="0" w:color="auto"/>
      </w:divBdr>
    </w:div>
    <w:div w:id="801115155">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5530660">
      <w:bodyDiv w:val="1"/>
      <w:marLeft w:val="0"/>
      <w:marRight w:val="0"/>
      <w:marTop w:val="0"/>
      <w:marBottom w:val="0"/>
      <w:divBdr>
        <w:top w:val="none" w:sz="0" w:space="0" w:color="auto"/>
        <w:left w:val="none" w:sz="0" w:space="0" w:color="auto"/>
        <w:bottom w:val="none" w:sz="0" w:space="0" w:color="auto"/>
        <w:right w:val="none" w:sz="0" w:space="0" w:color="auto"/>
      </w:divBdr>
    </w:div>
    <w:div w:id="815952149">
      <w:bodyDiv w:val="1"/>
      <w:marLeft w:val="0"/>
      <w:marRight w:val="0"/>
      <w:marTop w:val="0"/>
      <w:marBottom w:val="0"/>
      <w:divBdr>
        <w:top w:val="none" w:sz="0" w:space="0" w:color="auto"/>
        <w:left w:val="none" w:sz="0" w:space="0" w:color="auto"/>
        <w:bottom w:val="none" w:sz="0" w:space="0" w:color="auto"/>
        <w:right w:val="none" w:sz="0" w:space="0" w:color="auto"/>
      </w:divBdr>
    </w:div>
    <w:div w:id="81718670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1719101">
      <w:bodyDiv w:val="1"/>
      <w:marLeft w:val="0"/>
      <w:marRight w:val="0"/>
      <w:marTop w:val="0"/>
      <w:marBottom w:val="0"/>
      <w:divBdr>
        <w:top w:val="none" w:sz="0" w:space="0" w:color="auto"/>
        <w:left w:val="none" w:sz="0" w:space="0" w:color="auto"/>
        <w:bottom w:val="none" w:sz="0" w:space="0" w:color="auto"/>
        <w:right w:val="none" w:sz="0" w:space="0" w:color="auto"/>
      </w:divBdr>
    </w:div>
    <w:div w:id="843975152">
      <w:bodyDiv w:val="1"/>
      <w:marLeft w:val="0"/>
      <w:marRight w:val="0"/>
      <w:marTop w:val="0"/>
      <w:marBottom w:val="0"/>
      <w:divBdr>
        <w:top w:val="none" w:sz="0" w:space="0" w:color="auto"/>
        <w:left w:val="none" w:sz="0" w:space="0" w:color="auto"/>
        <w:bottom w:val="none" w:sz="0" w:space="0" w:color="auto"/>
        <w:right w:val="none" w:sz="0" w:space="0" w:color="auto"/>
      </w:divBdr>
      <w:divsChild>
        <w:div w:id="1151363237">
          <w:marLeft w:val="0"/>
          <w:marRight w:val="0"/>
          <w:marTop w:val="0"/>
          <w:marBottom w:val="0"/>
          <w:divBdr>
            <w:top w:val="none" w:sz="0" w:space="0" w:color="auto"/>
            <w:left w:val="none" w:sz="0" w:space="0" w:color="auto"/>
            <w:bottom w:val="none" w:sz="0" w:space="0" w:color="auto"/>
            <w:right w:val="none" w:sz="0" w:space="0" w:color="auto"/>
          </w:divBdr>
          <w:divsChild>
            <w:div w:id="53696624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45484410">
      <w:bodyDiv w:val="1"/>
      <w:marLeft w:val="0"/>
      <w:marRight w:val="0"/>
      <w:marTop w:val="0"/>
      <w:marBottom w:val="0"/>
      <w:divBdr>
        <w:top w:val="none" w:sz="0" w:space="0" w:color="auto"/>
        <w:left w:val="none" w:sz="0" w:space="0" w:color="auto"/>
        <w:bottom w:val="none" w:sz="0" w:space="0" w:color="auto"/>
        <w:right w:val="none" w:sz="0" w:space="0" w:color="auto"/>
      </w:divBdr>
    </w:div>
    <w:div w:id="857962901">
      <w:bodyDiv w:val="1"/>
      <w:marLeft w:val="0"/>
      <w:marRight w:val="0"/>
      <w:marTop w:val="0"/>
      <w:marBottom w:val="0"/>
      <w:divBdr>
        <w:top w:val="none" w:sz="0" w:space="0" w:color="auto"/>
        <w:left w:val="none" w:sz="0" w:space="0" w:color="auto"/>
        <w:bottom w:val="none" w:sz="0" w:space="0" w:color="auto"/>
        <w:right w:val="none" w:sz="0" w:space="0" w:color="auto"/>
      </w:divBdr>
      <w:divsChild>
        <w:div w:id="794183062">
          <w:marLeft w:val="0"/>
          <w:marRight w:val="0"/>
          <w:marTop w:val="0"/>
          <w:marBottom w:val="0"/>
          <w:divBdr>
            <w:top w:val="none" w:sz="0" w:space="0" w:color="auto"/>
            <w:left w:val="none" w:sz="0" w:space="0" w:color="auto"/>
            <w:bottom w:val="none" w:sz="0" w:space="0" w:color="auto"/>
            <w:right w:val="none" w:sz="0" w:space="0" w:color="auto"/>
          </w:divBdr>
        </w:div>
      </w:divsChild>
    </w:div>
    <w:div w:id="872234175">
      <w:bodyDiv w:val="1"/>
      <w:marLeft w:val="0"/>
      <w:marRight w:val="0"/>
      <w:marTop w:val="0"/>
      <w:marBottom w:val="0"/>
      <w:divBdr>
        <w:top w:val="none" w:sz="0" w:space="0" w:color="auto"/>
        <w:left w:val="none" w:sz="0" w:space="0" w:color="auto"/>
        <w:bottom w:val="none" w:sz="0" w:space="0" w:color="auto"/>
        <w:right w:val="none" w:sz="0" w:space="0" w:color="auto"/>
      </w:divBdr>
    </w:div>
    <w:div w:id="877551598">
      <w:bodyDiv w:val="1"/>
      <w:marLeft w:val="0"/>
      <w:marRight w:val="0"/>
      <w:marTop w:val="0"/>
      <w:marBottom w:val="0"/>
      <w:divBdr>
        <w:top w:val="none" w:sz="0" w:space="0" w:color="auto"/>
        <w:left w:val="none" w:sz="0" w:space="0" w:color="auto"/>
        <w:bottom w:val="none" w:sz="0" w:space="0" w:color="auto"/>
        <w:right w:val="none" w:sz="0" w:space="0" w:color="auto"/>
      </w:divBdr>
      <w:divsChild>
        <w:div w:id="184826601">
          <w:marLeft w:val="0"/>
          <w:marRight w:val="0"/>
          <w:marTop w:val="0"/>
          <w:marBottom w:val="0"/>
          <w:divBdr>
            <w:top w:val="none" w:sz="0" w:space="0" w:color="auto"/>
            <w:left w:val="none" w:sz="0" w:space="0" w:color="auto"/>
            <w:bottom w:val="single" w:sz="6" w:space="0" w:color="E6E6E6"/>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3156148">
      <w:bodyDiv w:val="1"/>
      <w:marLeft w:val="0"/>
      <w:marRight w:val="0"/>
      <w:marTop w:val="0"/>
      <w:marBottom w:val="0"/>
      <w:divBdr>
        <w:top w:val="none" w:sz="0" w:space="0" w:color="auto"/>
        <w:left w:val="none" w:sz="0" w:space="0" w:color="auto"/>
        <w:bottom w:val="none" w:sz="0" w:space="0" w:color="auto"/>
        <w:right w:val="none" w:sz="0" w:space="0" w:color="auto"/>
      </w:divBdr>
      <w:divsChild>
        <w:div w:id="859782932">
          <w:marLeft w:val="0"/>
          <w:marRight w:val="0"/>
          <w:marTop w:val="0"/>
          <w:marBottom w:val="0"/>
          <w:divBdr>
            <w:top w:val="none" w:sz="0" w:space="0" w:color="auto"/>
            <w:left w:val="none" w:sz="0" w:space="0" w:color="auto"/>
            <w:bottom w:val="none" w:sz="0" w:space="0" w:color="auto"/>
            <w:right w:val="none" w:sz="0" w:space="0" w:color="auto"/>
          </w:divBdr>
          <w:divsChild>
            <w:div w:id="32493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7424495">
      <w:bodyDiv w:val="1"/>
      <w:marLeft w:val="0"/>
      <w:marRight w:val="0"/>
      <w:marTop w:val="0"/>
      <w:marBottom w:val="0"/>
      <w:divBdr>
        <w:top w:val="none" w:sz="0" w:space="0" w:color="auto"/>
        <w:left w:val="none" w:sz="0" w:space="0" w:color="auto"/>
        <w:bottom w:val="none" w:sz="0" w:space="0" w:color="auto"/>
        <w:right w:val="none" w:sz="0" w:space="0" w:color="auto"/>
      </w:divBdr>
      <w:divsChild>
        <w:div w:id="2047750616">
          <w:marLeft w:val="0"/>
          <w:marRight w:val="0"/>
          <w:marTop w:val="0"/>
          <w:marBottom w:val="0"/>
          <w:divBdr>
            <w:top w:val="none" w:sz="0" w:space="0" w:color="auto"/>
            <w:left w:val="none" w:sz="0" w:space="0" w:color="auto"/>
            <w:bottom w:val="none" w:sz="0" w:space="0" w:color="auto"/>
            <w:right w:val="none" w:sz="0" w:space="0" w:color="auto"/>
          </w:divBdr>
        </w:div>
        <w:div w:id="1307855548">
          <w:marLeft w:val="0"/>
          <w:marRight w:val="0"/>
          <w:marTop w:val="0"/>
          <w:marBottom w:val="0"/>
          <w:divBdr>
            <w:top w:val="none" w:sz="0" w:space="0" w:color="auto"/>
            <w:left w:val="none" w:sz="0" w:space="0" w:color="auto"/>
            <w:bottom w:val="none" w:sz="0" w:space="0" w:color="auto"/>
            <w:right w:val="none" w:sz="0" w:space="0" w:color="auto"/>
          </w:divBdr>
        </w:div>
      </w:divsChild>
    </w:div>
    <w:div w:id="909192272">
      <w:bodyDiv w:val="1"/>
      <w:marLeft w:val="0"/>
      <w:marRight w:val="0"/>
      <w:marTop w:val="0"/>
      <w:marBottom w:val="0"/>
      <w:divBdr>
        <w:top w:val="none" w:sz="0" w:space="0" w:color="auto"/>
        <w:left w:val="none" w:sz="0" w:space="0" w:color="auto"/>
        <w:bottom w:val="none" w:sz="0" w:space="0" w:color="auto"/>
        <w:right w:val="none" w:sz="0" w:space="0" w:color="auto"/>
      </w:divBdr>
    </w:div>
    <w:div w:id="913779937">
      <w:bodyDiv w:val="1"/>
      <w:marLeft w:val="0"/>
      <w:marRight w:val="0"/>
      <w:marTop w:val="0"/>
      <w:marBottom w:val="0"/>
      <w:divBdr>
        <w:top w:val="none" w:sz="0" w:space="0" w:color="auto"/>
        <w:left w:val="none" w:sz="0" w:space="0" w:color="auto"/>
        <w:bottom w:val="none" w:sz="0" w:space="0" w:color="auto"/>
        <w:right w:val="none" w:sz="0" w:space="0" w:color="auto"/>
      </w:divBdr>
    </w:div>
    <w:div w:id="921721212">
      <w:bodyDiv w:val="1"/>
      <w:marLeft w:val="0"/>
      <w:marRight w:val="0"/>
      <w:marTop w:val="0"/>
      <w:marBottom w:val="0"/>
      <w:divBdr>
        <w:top w:val="none" w:sz="0" w:space="0" w:color="auto"/>
        <w:left w:val="none" w:sz="0" w:space="0" w:color="auto"/>
        <w:bottom w:val="none" w:sz="0" w:space="0" w:color="auto"/>
        <w:right w:val="none" w:sz="0" w:space="0" w:color="auto"/>
      </w:divBdr>
    </w:div>
    <w:div w:id="924146857">
      <w:bodyDiv w:val="1"/>
      <w:marLeft w:val="0"/>
      <w:marRight w:val="0"/>
      <w:marTop w:val="0"/>
      <w:marBottom w:val="0"/>
      <w:divBdr>
        <w:top w:val="none" w:sz="0" w:space="0" w:color="auto"/>
        <w:left w:val="none" w:sz="0" w:space="0" w:color="auto"/>
        <w:bottom w:val="none" w:sz="0" w:space="0" w:color="auto"/>
        <w:right w:val="none" w:sz="0" w:space="0" w:color="auto"/>
      </w:divBdr>
    </w:div>
    <w:div w:id="938485302">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3072831">
      <w:bodyDiv w:val="1"/>
      <w:marLeft w:val="0"/>
      <w:marRight w:val="0"/>
      <w:marTop w:val="0"/>
      <w:marBottom w:val="0"/>
      <w:divBdr>
        <w:top w:val="none" w:sz="0" w:space="0" w:color="auto"/>
        <w:left w:val="none" w:sz="0" w:space="0" w:color="auto"/>
        <w:bottom w:val="none" w:sz="0" w:space="0" w:color="auto"/>
        <w:right w:val="none" w:sz="0" w:space="0" w:color="auto"/>
      </w:divBdr>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56789514">
      <w:bodyDiv w:val="1"/>
      <w:marLeft w:val="0"/>
      <w:marRight w:val="0"/>
      <w:marTop w:val="0"/>
      <w:marBottom w:val="0"/>
      <w:divBdr>
        <w:top w:val="none" w:sz="0" w:space="0" w:color="auto"/>
        <w:left w:val="none" w:sz="0" w:space="0" w:color="auto"/>
        <w:bottom w:val="none" w:sz="0" w:space="0" w:color="auto"/>
        <w:right w:val="none" w:sz="0" w:space="0" w:color="auto"/>
      </w:divBdr>
    </w:div>
    <w:div w:id="967127890">
      <w:bodyDiv w:val="1"/>
      <w:marLeft w:val="0"/>
      <w:marRight w:val="0"/>
      <w:marTop w:val="0"/>
      <w:marBottom w:val="0"/>
      <w:divBdr>
        <w:top w:val="none" w:sz="0" w:space="0" w:color="auto"/>
        <w:left w:val="none" w:sz="0" w:space="0" w:color="auto"/>
        <w:bottom w:val="none" w:sz="0" w:space="0" w:color="auto"/>
        <w:right w:val="none" w:sz="0" w:space="0" w:color="auto"/>
      </w:divBdr>
    </w:div>
    <w:div w:id="973482700">
      <w:bodyDiv w:val="1"/>
      <w:marLeft w:val="0"/>
      <w:marRight w:val="0"/>
      <w:marTop w:val="0"/>
      <w:marBottom w:val="0"/>
      <w:divBdr>
        <w:top w:val="none" w:sz="0" w:space="0" w:color="auto"/>
        <w:left w:val="none" w:sz="0" w:space="0" w:color="auto"/>
        <w:bottom w:val="none" w:sz="0" w:space="0" w:color="auto"/>
        <w:right w:val="none" w:sz="0" w:space="0" w:color="auto"/>
      </w:divBdr>
      <w:divsChild>
        <w:div w:id="384066932">
          <w:marLeft w:val="0"/>
          <w:marRight w:val="0"/>
          <w:marTop w:val="0"/>
          <w:marBottom w:val="0"/>
          <w:divBdr>
            <w:top w:val="none" w:sz="0" w:space="0" w:color="auto"/>
            <w:left w:val="none" w:sz="0" w:space="0" w:color="auto"/>
            <w:bottom w:val="none" w:sz="0" w:space="0" w:color="auto"/>
            <w:right w:val="none" w:sz="0" w:space="0" w:color="auto"/>
          </w:divBdr>
          <w:divsChild>
            <w:div w:id="20225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0911624">
      <w:bodyDiv w:val="1"/>
      <w:marLeft w:val="0"/>
      <w:marRight w:val="0"/>
      <w:marTop w:val="0"/>
      <w:marBottom w:val="0"/>
      <w:divBdr>
        <w:top w:val="none" w:sz="0" w:space="0" w:color="auto"/>
        <w:left w:val="none" w:sz="0" w:space="0" w:color="auto"/>
        <w:bottom w:val="none" w:sz="0" w:space="0" w:color="auto"/>
        <w:right w:val="none" w:sz="0" w:space="0" w:color="auto"/>
      </w:divBdr>
      <w:divsChild>
        <w:div w:id="1290823668">
          <w:marLeft w:val="0"/>
          <w:marRight w:val="0"/>
          <w:marTop w:val="187"/>
          <w:marBottom w:val="0"/>
          <w:divBdr>
            <w:top w:val="none" w:sz="0" w:space="0" w:color="auto"/>
            <w:left w:val="none" w:sz="0" w:space="0" w:color="auto"/>
            <w:bottom w:val="none" w:sz="0" w:space="0" w:color="auto"/>
            <w:right w:val="none" w:sz="0" w:space="0" w:color="auto"/>
          </w:divBdr>
        </w:div>
        <w:div w:id="701175397">
          <w:marLeft w:val="0"/>
          <w:marRight w:val="0"/>
          <w:marTop w:val="480"/>
          <w:marBottom w:val="0"/>
          <w:divBdr>
            <w:top w:val="none" w:sz="0" w:space="0" w:color="auto"/>
            <w:left w:val="none" w:sz="0" w:space="0" w:color="auto"/>
            <w:bottom w:val="none" w:sz="0" w:space="0" w:color="auto"/>
            <w:right w:val="none" w:sz="0" w:space="0" w:color="auto"/>
          </w:divBdr>
          <w:divsChild>
            <w:div w:id="1714499058">
              <w:marLeft w:val="0"/>
              <w:marRight w:val="0"/>
              <w:marTop w:val="0"/>
              <w:marBottom w:val="0"/>
              <w:divBdr>
                <w:top w:val="none" w:sz="0" w:space="0" w:color="auto"/>
                <w:left w:val="none" w:sz="0" w:space="0" w:color="auto"/>
                <w:bottom w:val="none" w:sz="0" w:space="0" w:color="auto"/>
                <w:right w:val="none" w:sz="0" w:space="0" w:color="auto"/>
              </w:divBdr>
              <w:divsChild>
                <w:div w:id="1105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908411">
      <w:bodyDiv w:val="1"/>
      <w:marLeft w:val="0"/>
      <w:marRight w:val="0"/>
      <w:marTop w:val="0"/>
      <w:marBottom w:val="0"/>
      <w:divBdr>
        <w:top w:val="none" w:sz="0" w:space="0" w:color="auto"/>
        <w:left w:val="none" w:sz="0" w:space="0" w:color="auto"/>
        <w:bottom w:val="none" w:sz="0" w:space="0" w:color="auto"/>
        <w:right w:val="none" w:sz="0" w:space="0" w:color="auto"/>
      </w:divBdr>
      <w:divsChild>
        <w:div w:id="653414139">
          <w:marLeft w:val="0"/>
          <w:marRight w:val="0"/>
          <w:marTop w:val="187"/>
          <w:marBottom w:val="0"/>
          <w:divBdr>
            <w:top w:val="none" w:sz="0" w:space="0" w:color="auto"/>
            <w:left w:val="none" w:sz="0" w:space="0" w:color="auto"/>
            <w:bottom w:val="none" w:sz="0" w:space="0" w:color="auto"/>
            <w:right w:val="none" w:sz="0" w:space="0" w:color="auto"/>
          </w:divBdr>
        </w:div>
        <w:div w:id="1302927466">
          <w:marLeft w:val="0"/>
          <w:marRight w:val="0"/>
          <w:marTop w:val="480"/>
          <w:marBottom w:val="0"/>
          <w:divBdr>
            <w:top w:val="none" w:sz="0" w:space="0" w:color="auto"/>
            <w:left w:val="none" w:sz="0" w:space="0" w:color="auto"/>
            <w:bottom w:val="none" w:sz="0" w:space="0" w:color="auto"/>
            <w:right w:val="none" w:sz="0" w:space="0" w:color="auto"/>
          </w:divBdr>
          <w:divsChild>
            <w:div w:id="1665863830">
              <w:marLeft w:val="0"/>
              <w:marRight w:val="0"/>
              <w:marTop w:val="0"/>
              <w:marBottom w:val="0"/>
              <w:divBdr>
                <w:top w:val="none" w:sz="0" w:space="0" w:color="auto"/>
                <w:left w:val="none" w:sz="0" w:space="0" w:color="auto"/>
                <w:bottom w:val="none" w:sz="0" w:space="0" w:color="auto"/>
                <w:right w:val="none" w:sz="0" w:space="0" w:color="auto"/>
              </w:divBdr>
              <w:divsChild>
                <w:div w:id="18903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6024">
      <w:bodyDiv w:val="1"/>
      <w:marLeft w:val="0"/>
      <w:marRight w:val="0"/>
      <w:marTop w:val="0"/>
      <w:marBottom w:val="0"/>
      <w:divBdr>
        <w:top w:val="none" w:sz="0" w:space="0" w:color="auto"/>
        <w:left w:val="none" w:sz="0" w:space="0" w:color="auto"/>
        <w:bottom w:val="none" w:sz="0" w:space="0" w:color="auto"/>
        <w:right w:val="none" w:sz="0" w:space="0" w:color="auto"/>
      </w:divBdr>
    </w:div>
    <w:div w:id="996615415">
      <w:bodyDiv w:val="1"/>
      <w:marLeft w:val="0"/>
      <w:marRight w:val="0"/>
      <w:marTop w:val="0"/>
      <w:marBottom w:val="0"/>
      <w:divBdr>
        <w:top w:val="none" w:sz="0" w:space="0" w:color="auto"/>
        <w:left w:val="none" w:sz="0" w:space="0" w:color="auto"/>
        <w:bottom w:val="none" w:sz="0" w:space="0" w:color="auto"/>
        <w:right w:val="none" w:sz="0" w:space="0" w:color="auto"/>
      </w:divBdr>
    </w:div>
    <w:div w:id="999044954">
      <w:bodyDiv w:val="1"/>
      <w:marLeft w:val="0"/>
      <w:marRight w:val="0"/>
      <w:marTop w:val="0"/>
      <w:marBottom w:val="0"/>
      <w:divBdr>
        <w:top w:val="none" w:sz="0" w:space="0" w:color="auto"/>
        <w:left w:val="none" w:sz="0" w:space="0" w:color="auto"/>
        <w:bottom w:val="none" w:sz="0" w:space="0" w:color="auto"/>
        <w:right w:val="none" w:sz="0" w:space="0" w:color="auto"/>
      </w:divBdr>
    </w:div>
    <w:div w:id="1013610955">
      <w:bodyDiv w:val="1"/>
      <w:marLeft w:val="0"/>
      <w:marRight w:val="0"/>
      <w:marTop w:val="0"/>
      <w:marBottom w:val="0"/>
      <w:divBdr>
        <w:top w:val="none" w:sz="0" w:space="0" w:color="auto"/>
        <w:left w:val="none" w:sz="0" w:space="0" w:color="auto"/>
        <w:bottom w:val="none" w:sz="0" w:space="0" w:color="auto"/>
        <w:right w:val="none" w:sz="0" w:space="0" w:color="auto"/>
      </w:divBdr>
    </w:div>
    <w:div w:id="1023634334">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3455449">
      <w:bodyDiv w:val="1"/>
      <w:marLeft w:val="0"/>
      <w:marRight w:val="0"/>
      <w:marTop w:val="0"/>
      <w:marBottom w:val="0"/>
      <w:divBdr>
        <w:top w:val="none" w:sz="0" w:space="0" w:color="auto"/>
        <w:left w:val="none" w:sz="0" w:space="0" w:color="auto"/>
        <w:bottom w:val="none" w:sz="0" w:space="0" w:color="auto"/>
        <w:right w:val="none" w:sz="0" w:space="0" w:color="auto"/>
      </w:divBdr>
    </w:div>
    <w:div w:id="1088189682">
      <w:bodyDiv w:val="1"/>
      <w:marLeft w:val="0"/>
      <w:marRight w:val="0"/>
      <w:marTop w:val="0"/>
      <w:marBottom w:val="0"/>
      <w:divBdr>
        <w:top w:val="none" w:sz="0" w:space="0" w:color="auto"/>
        <w:left w:val="none" w:sz="0" w:space="0" w:color="auto"/>
        <w:bottom w:val="none" w:sz="0" w:space="0" w:color="auto"/>
        <w:right w:val="none" w:sz="0" w:space="0" w:color="auto"/>
      </w:divBdr>
    </w:div>
    <w:div w:id="1089891621">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796450">
      <w:bodyDiv w:val="1"/>
      <w:marLeft w:val="0"/>
      <w:marRight w:val="0"/>
      <w:marTop w:val="0"/>
      <w:marBottom w:val="0"/>
      <w:divBdr>
        <w:top w:val="none" w:sz="0" w:space="0" w:color="auto"/>
        <w:left w:val="none" w:sz="0" w:space="0" w:color="auto"/>
        <w:bottom w:val="none" w:sz="0" w:space="0" w:color="auto"/>
        <w:right w:val="none" w:sz="0" w:space="0" w:color="auto"/>
      </w:divBdr>
    </w:div>
    <w:div w:id="1104767356">
      <w:bodyDiv w:val="1"/>
      <w:marLeft w:val="0"/>
      <w:marRight w:val="0"/>
      <w:marTop w:val="0"/>
      <w:marBottom w:val="0"/>
      <w:divBdr>
        <w:top w:val="none" w:sz="0" w:space="0" w:color="auto"/>
        <w:left w:val="none" w:sz="0" w:space="0" w:color="auto"/>
        <w:bottom w:val="none" w:sz="0" w:space="0" w:color="auto"/>
        <w:right w:val="none" w:sz="0" w:space="0" w:color="auto"/>
      </w:divBdr>
    </w:div>
    <w:div w:id="1114061982">
      <w:bodyDiv w:val="1"/>
      <w:marLeft w:val="0"/>
      <w:marRight w:val="0"/>
      <w:marTop w:val="0"/>
      <w:marBottom w:val="0"/>
      <w:divBdr>
        <w:top w:val="none" w:sz="0" w:space="0" w:color="auto"/>
        <w:left w:val="none" w:sz="0" w:space="0" w:color="auto"/>
        <w:bottom w:val="none" w:sz="0" w:space="0" w:color="auto"/>
        <w:right w:val="none" w:sz="0" w:space="0" w:color="auto"/>
      </w:divBdr>
    </w:div>
    <w:div w:id="1118452371">
      <w:bodyDiv w:val="1"/>
      <w:marLeft w:val="0"/>
      <w:marRight w:val="0"/>
      <w:marTop w:val="0"/>
      <w:marBottom w:val="0"/>
      <w:divBdr>
        <w:top w:val="none" w:sz="0" w:space="0" w:color="auto"/>
        <w:left w:val="none" w:sz="0" w:space="0" w:color="auto"/>
        <w:bottom w:val="none" w:sz="0" w:space="0" w:color="auto"/>
        <w:right w:val="none" w:sz="0" w:space="0" w:color="auto"/>
      </w:divBdr>
    </w:div>
    <w:div w:id="1121606711">
      <w:bodyDiv w:val="1"/>
      <w:marLeft w:val="0"/>
      <w:marRight w:val="0"/>
      <w:marTop w:val="0"/>
      <w:marBottom w:val="0"/>
      <w:divBdr>
        <w:top w:val="none" w:sz="0" w:space="0" w:color="auto"/>
        <w:left w:val="none" w:sz="0" w:space="0" w:color="auto"/>
        <w:bottom w:val="none" w:sz="0" w:space="0" w:color="auto"/>
        <w:right w:val="none" w:sz="0" w:space="0" w:color="auto"/>
      </w:divBdr>
    </w:div>
    <w:div w:id="1127433183">
      <w:bodyDiv w:val="1"/>
      <w:marLeft w:val="0"/>
      <w:marRight w:val="0"/>
      <w:marTop w:val="0"/>
      <w:marBottom w:val="0"/>
      <w:divBdr>
        <w:top w:val="none" w:sz="0" w:space="0" w:color="auto"/>
        <w:left w:val="none" w:sz="0" w:space="0" w:color="auto"/>
        <w:bottom w:val="none" w:sz="0" w:space="0" w:color="auto"/>
        <w:right w:val="none" w:sz="0" w:space="0" w:color="auto"/>
      </w:divBdr>
    </w:div>
    <w:div w:id="1133404118">
      <w:bodyDiv w:val="1"/>
      <w:marLeft w:val="0"/>
      <w:marRight w:val="0"/>
      <w:marTop w:val="0"/>
      <w:marBottom w:val="0"/>
      <w:divBdr>
        <w:top w:val="none" w:sz="0" w:space="0" w:color="auto"/>
        <w:left w:val="none" w:sz="0" w:space="0" w:color="auto"/>
        <w:bottom w:val="none" w:sz="0" w:space="0" w:color="auto"/>
        <w:right w:val="none" w:sz="0" w:space="0" w:color="auto"/>
      </w:divBdr>
    </w:div>
    <w:div w:id="1137644815">
      <w:bodyDiv w:val="1"/>
      <w:marLeft w:val="0"/>
      <w:marRight w:val="0"/>
      <w:marTop w:val="0"/>
      <w:marBottom w:val="0"/>
      <w:divBdr>
        <w:top w:val="none" w:sz="0" w:space="0" w:color="auto"/>
        <w:left w:val="none" w:sz="0" w:space="0" w:color="auto"/>
        <w:bottom w:val="none" w:sz="0" w:space="0" w:color="auto"/>
        <w:right w:val="none" w:sz="0" w:space="0" w:color="auto"/>
      </w:divBdr>
    </w:div>
    <w:div w:id="1146044446">
      <w:bodyDiv w:val="1"/>
      <w:marLeft w:val="0"/>
      <w:marRight w:val="0"/>
      <w:marTop w:val="0"/>
      <w:marBottom w:val="0"/>
      <w:divBdr>
        <w:top w:val="none" w:sz="0" w:space="0" w:color="auto"/>
        <w:left w:val="none" w:sz="0" w:space="0" w:color="auto"/>
        <w:bottom w:val="none" w:sz="0" w:space="0" w:color="auto"/>
        <w:right w:val="none" w:sz="0" w:space="0" w:color="auto"/>
      </w:divBdr>
    </w:div>
    <w:div w:id="1146357913">
      <w:bodyDiv w:val="1"/>
      <w:marLeft w:val="0"/>
      <w:marRight w:val="0"/>
      <w:marTop w:val="0"/>
      <w:marBottom w:val="0"/>
      <w:divBdr>
        <w:top w:val="none" w:sz="0" w:space="0" w:color="auto"/>
        <w:left w:val="none" w:sz="0" w:space="0" w:color="auto"/>
        <w:bottom w:val="none" w:sz="0" w:space="0" w:color="auto"/>
        <w:right w:val="none" w:sz="0" w:space="0" w:color="auto"/>
      </w:divBdr>
    </w:div>
    <w:div w:id="1148863735">
      <w:bodyDiv w:val="1"/>
      <w:marLeft w:val="0"/>
      <w:marRight w:val="0"/>
      <w:marTop w:val="0"/>
      <w:marBottom w:val="0"/>
      <w:divBdr>
        <w:top w:val="none" w:sz="0" w:space="0" w:color="auto"/>
        <w:left w:val="none" w:sz="0" w:space="0" w:color="auto"/>
        <w:bottom w:val="none" w:sz="0" w:space="0" w:color="auto"/>
        <w:right w:val="none" w:sz="0" w:space="0" w:color="auto"/>
      </w:divBdr>
    </w:div>
    <w:div w:id="1154758517">
      <w:bodyDiv w:val="1"/>
      <w:marLeft w:val="0"/>
      <w:marRight w:val="0"/>
      <w:marTop w:val="0"/>
      <w:marBottom w:val="0"/>
      <w:divBdr>
        <w:top w:val="none" w:sz="0" w:space="0" w:color="auto"/>
        <w:left w:val="none" w:sz="0" w:space="0" w:color="auto"/>
        <w:bottom w:val="none" w:sz="0" w:space="0" w:color="auto"/>
        <w:right w:val="none" w:sz="0" w:space="0" w:color="auto"/>
      </w:divBdr>
    </w:div>
    <w:div w:id="1163008684">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69297504">
      <w:bodyDiv w:val="1"/>
      <w:marLeft w:val="0"/>
      <w:marRight w:val="0"/>
      <w:marTop w:val="0"/>
      <w:marBottom w:val="0"/>
      <w:divBdr>
        <w:top w:val="none" w:sz="0" w:space="0" w:color="auto"/>
        <w:left w:val="none" w:sz="0" w:space="0" w:color="auto"/>
        <w:bottom w:val="none" w:sz="0" w:space="0" w:color="auto"/>
        <w:right w:val="none" w:sz="0" w:space="0" w:color="auto"/>
      </w:divBdr>
    </w:div>
    <w:div w:id="1173836518">
      <w:bodyDiv w:val="1"/>
      <w:marLeft w:val="0"/>
      <w:marRight w:val="0"/>
      <w:marTop w:val="0"/>
      <w:marBottom w:val="0"/>
      <w:divBdr>
        <w:top w:val="none" w:sz="0" w:space="0" w:color="auto"/>
        <w:left w:val="none" w:sz="0" w:space="0" w:color="auto"/>
        <w:bottom w:val="none" w:sz="0" w:space="0" w:color="auto"/>
        <w:right w:val="none" w:sz="0" w:space="0" w:color="auto"/>
      </w:divBdr>
    </w:div>
    <w:div w:id="1178303499">
      <w:bodyDiv w:val="1"/>
      <w:marLeft w:val="0"/>
      <w:marRight w:val="0"/>
      <w:marTop w:val="0"/>
      <w:marBottom w:val="0"/>
      <w:divBdr>
        <w:top w:val="none" w:sz="0" w:space="0" w:color="auto"/>
        <w:left w:val="none" w:sz="0" w:space="0" w:color="auto"/>
        <w:bottom w:val="none" w:sz="0" w:space="0" w:color="auto"/>
        <w:right w:val="none" w:sz="0" w:space="0" w:color="auto"/>
      </w:divBdr>
    </w:div>
    <w:div w:id="1187672518">
      <w:bodyDiv w:val="1"/>
      <w:marLeft w:val="0"/>
      <w:marRight w:val="0"/>
      <w:marTop w:val="0"/>
      <w:marBottom w:val="0"/>
      <w:divBdr>
        <w:top w:val="none" w:sz="0" w:space="0" w:color="auto"/>
        <w:left w:val="none" w:sz="0" w:space="0" w:color="auto"/>
        <w:bottom w:val="none" w:sz="0" w:space="0" w:color="auto"/>
        <w:right w:val="none" w:sz="0" w:space="0" w:color="auto"/>
      </w:divBdr>
    </w:div>
    <w:div w:id="1189753695">
      <w:bodyDiv w:val="1"/>
      <w:marLeft w:val="0"/>
      <w:marRight w:val="0"/>
      <w:marTop w:val="0"/>
      <w:marBottom w:val="0"/>
      <w:divBdr>
        <w:top w:val="none" w:sz="0" w:space="0" w:color="auto"/>
        <w:left w:val="none" w:sz="0" w:space="0" w:color="auto"/>
        <w:bottom w:val="none" w:sz="0" w:space="0" w:color="auto"/>
        <w:right w:val="none" w:sz="0" w:space="0" w:color="auto"/>
      </w:divBdr>
    </w:div>
    <w:div w:id="119330326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1088459">
      <w:bodyDiv w:val="1"/>
      <w:marLeft w:val="0"/>
      <w:marRight w:val="0"/>
      <w:marTop w:val="0"/>
      <w:marBottom w:val="0"/>
      <w:divBdr>
        <w:top w:val="none" w:sz="0" w:space="0" w:color="auto"/>
        <w:left w:val="none" w:sz="0" w:space="0" w:color="auto"/>
        <w:bottom w:val="none" w:sz="0" w:space="0" w:color="auto"/>
        <w:right w:val="none" w:sz="0" w:space="0" w:color="auto"/>
      </w:divBdr>
    </w:div>
    <w:div w:id="1204321302">
      <w:bodyDiv w:val="1"/>
      <w:marLeft w:val="0"/>
      <w:marRight w:val="0"/>
      <w:marTop w:val="0"/>
      <w:marBottom w:val="0"/>
      <w:divBdr>
        <w:top w:val="none" w:sz="0" w:space="0" w:color="auto"/>
        <w:left w:val="none" w:sz="0" w:space="0" w:color="auto"/>
        <w:bottom w:val="none" w:sz="0" w:space="0" w:color="auto"/>
        <w:right w:val="none" w:sz="0" w:space="0" w:color="auto"/>
      </w:divBdr>
    </w:div>
    <w:div w:id="1207373107">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1381304">
      <w:bodyDiv w:val="1"/>
      <w:marLeft w:val="0"/>
      <w:marRight w:val="0"/>
      <w:marTop w:val="0"/>
      <w:marBottom w:val="0"/>
      <w:divBdr>
        <w:top w:val="none" w:sz="0" w:space="0" w:color="auto"/>
        <w:left w:val="none" w:sz="0" w:space="0" w:color="auto"/>
        <w:bottom w:val="none" w:sz="0" w:space="0" w:color="auto"/>
        <w:right w:val="none" w:sz="0" w:space="0" w:color="auto"/>
      </w:divBdr>
    </w:div>
    <w:div w:id="1212425412">
      <w:bodyDiv w:val="1"/>
      <w:marLeft w:val="0"/>
      <w:marRight w:val="0"/>
      <w:marTop w:val="0"/>
      <w:marBottom w:val="0"/>
      <w:divBdr>
        <w:top w:val="none" w:sz="0" w:space="0" w:color="auto"/>
        <w:left w:val="none" w:sz="0" w:space="0" w:color="auto"/>
        <w:bottom w:val="none" w:sz="0" w:space="0" w:color="auto"/>
        <w:right w:val="none" w:sz="0" w:space="0" w:color="auto"/>
      </w:divBdr>
    </w:div>
    <w:div w:id="1228957651">
      <w:bodyDiv w:val="1"/>
      <w:marLeft w:val="0"/>
      <w:marRight w:val="0"/>
      <w:marTop w:val="0"/>
      <w:marBottom w:val="0"/>
      <w:divBdr>
        <w:top w:val="none" w:sz="0" w:space="0" w:color="auto"/>
        <w:left w:val="none" w:sz="0" w:space="0" w:color="auto"/>
        <w:bottom w:val="none" w:sz="0" w:space="0" w:color="auto"/>
        <w:right w:val="none" w:sz="0" w:space="0" w:color="auto"/>
      </w:divBdr>
    </w:div>
    <w:div w:id="1229146640">
      <w:bodyDiv w:val="1"/>
      <w:marLeft w:val="0"/>
      <w:marRight w:val="0"/>
      <w:marTop w:val="0"/>
      <w:marBottom w:val="0"/>
      <w:divBdr>
        <w:top w:val="none" w:sz="0" w:space="0" w:color="auto"/>
        <w:left w:val="none" w:sz="0" w:space="0" w:color="auto"/>
        <w:bottom w:val="none" w:sz="0" w:space="0" w:color="auto"/>
        <w:right w:val="none" w:sz="0" w:space="0" w:color="auto"/>
      </w:divBdr>
    </w:div>
    <w:div w:id="1239435292">
      <w:bodyDiv w:val="1"/>
      <w:marLeft w:val="0"/>
      <w:marRight w:val="0"/>
      <w:marTop w:val="0"/>
      <w:marBottom w:val="0"/>
      <w:divBdr>
        <w:top w:val="none" w:sz="0" w:space="0" w:color="auto"/>
        <w:left w:val="none" w:sz="0" w:space="0" w:color="auto"/>
        <w:bottom w:val="none" w:sz="0" w:space="0" w:color="auto"/>
        <w:right w:val="none" w:sz="0" w:space="0" w:color="auto"/>
      </w:divBdr>
    </w:div>
    <w:div w:id="1260331475">
      <w:bodyDiv w:val="1"/>
      <w:marLeft w:val="0"/>
      <w:marRight w:val="0"/>
      <w:marTop w:val="0"/>
      <w:marBottom w:val="0"/>
      <w:divBdr>
        <w:top w:val="none" w:sz="0" w:space="0" w:color="auto"/>
        <w:left w:val="none" w:sz="0" w:space="0" w:color="auto"/>
        <w:bottom w:val="none" w:sz="0" w:space="0" w:color="auto"/>
        <w:right w:val="none" w:sz="0" w:space="0" w:color="auto"/>
      </w:divBdr>
    </w:div>
    <w:div w:id="1278560958">
      <w:bodyDiv w:val="1"/>
      <w:marLeft w:val="0"/>
      <w:marRight w:val="0"/>
      <w:marTop w:val="0"/>
      <w:marBottom w:val="0"/>
      <w:divBdr>
        <w:top w:val="none" w:sz="0" w:space="0" w:color="auto"/>
        <w:left w:val="none" w:sz="0" w:space="0" w:color="auto"/>
        <w:bottom w:val="none" w:sz="0" w:space="0" w:color="auto"/>
        <w:right w:val="none" w:sz="0" w:space="0" w:color="auto"/>
      </w:divBdr>
    </w:div>
    <w:div w:id="1295671920">
      <w:bodyDiv w:val="1"/>
      <w:marLeft w:val="0"/>
      <w:marRight w:val="0"/>
      <w:marTop w:val="0"/>
      <w:marBottom w:val="0"/>
      <w:divBdr>
        <w:top w:val="none" w:sz="0" w:space="0" w:color="auto"/>
        <w:left w:val="none" w:sz="0" w:space="0" w:color="auto"/>
        <w:bottom w:val="none" w:sz="0" w:space="0" w:color="auto"/>
        <w:right w:val="none" w:sz="0" w:space="0" w:color="auto"/>
      </w:divBdr>
    </w:div>
    <w:div w:id="1296568628">
      <w:bodyDiv w:val="1"/>
      <w:marLeft w:val="0"/>
      <w:marRight w:val="0"/>
      <w:marTop w:val="0"/>
      <w:marBottom w:val="0"/>
      <w:divBdr>
        <w:top w:val="none" w:sz="0" w:space="0" w:color="auto"/>
        <w:left w:val="none" w:sz="0" w:space="0" w:color="auto"/>
        <w:bottom w:val="none" w:sz="0" w:space="0" w:color="auto"/>
        <w:right w:val="none" w:sz="0" w:space="0" w:color="auto"/>
      </w:divBdr>
    </w:div>
    <w:div w:id="1317801131">
      <w:bodyDiv w:val="1"/>
      <w:marLeft w:val="0"/>
      <w:marRight w:val="0"/>
      <w:marTop w:val="0"/>
      <w:marBottom w:val="0"/>
      <w:divBdr>
        <w:top w:val="none" w:sz="0" w:space="0" w:color="auto"/>
        <w:left w:val="none" w:sz="0" w:space="0" w:color="auto"/>
        <w:bottom w:val="none" w:sz="0" w:space="0" w:color="auto"/>
        <w:right w:val="none" w:sz="0" w:space="0" w:color="auto"/>
      </w:divBdr>
    </w:div>
    <w:div w:id="135176309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0428327">
      <w:bodyDiv w:val="1"/>
      <w:marLeft w:val="0"/>
      <w:marRight w:val="0"/>
      <w:marTop w:val="0"/>
      <w:marBottom w:val="0"/>
      <w:divBdr>
        <w:top w:val="none" w:sz="0" w:space="0" w:color="auto"/>
        <w:left w:val="none" w:sz="0" w:space="0" w:color="auto"/>
        <w:bottom w:val="none" w:sz="0" w:space="0" w:color="auto"/>
        <w:right w:val="none" w:sz="0" w:space="0" w:color="auto"/>
      </w:divBdr>
    </w:div>
    <w:div w:id="1361517468">
      <w:bodyDiv w:val="1"/>
      <w:marLeft w:val="0"/>
      <w:marRight w:val="0"/>
      <w:marTop w:val="0"/>
      <w:marBottom w:val="0"/>
      <w:divBdr>
        <w:top w:val="none" w:sz="0" w:space="0" w:color="auto"/>
        <w:left w:val="none" w:sz="0" w:space="0" w:color="auto"/>
        <w:bottom w:val="none" w:sz="0" w:space="0" w:color="auto"/>
        <w:right w:val="none" w:sz="0" w:space="0" w:color="auto"/>
      </w:divBdr>
    </w:div>
    <w:div w:id="1363358250">
      <w:bodyDiv w:val="1"/>
      <w:marLeft w:val="0"/>
      <w:marRight w:val="0"/>
      <w:marTop w:val="0"/>
      <w:marBottom w:val="0"/>
      <w:divBdr>
        <w:top w:val="none" w:sz="0" w:space="0" w:color="auto"/>
        <w:left w:val="none" w:sz="0" w:space="0" w:color="auto"/>
        <w:bottom w:val="none" w:sz="0" w:space="0" w:color="auto"/>
        <w:right w:val="none" w:sz="0" w:space="0" w:color="auto"/>
      </w:divBdr>
    </w:div>
    <w:div w:id="1377126265">
      <w:bodyDiv w:val="1"/>
      <w:marLeft w:val="0"/>
      <w:marRight w:val="0"/>
      <w:marTop w:val="0"/>
      <w:marBottom w:val="0"/>
      <w:divBdr>
        <w:top w:val="none" w:sz="0" w:space="0" w:color="auto"/>
        <w:left w:val="none" w:sz="0" w:space="0" w:color="auto"/>
        <w:bottom w:val="none" w:sz="0" w:space="0" w:color="auto"/>
        <w:right w:val="none" w:sz="0" w:space="0" w:color="auto"/>
      </w:divBdr>
    </w:div>
    <w:div w:id="1390808837">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2655831">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053599">
      <w:bodyDiv w:val="1"/>
      <w:marLeft w:val="0"/>
      <w:marRight w:val="0"/>
      <w:marTop w:val="0"/>
      <w:marBottom w:val="0"/>
      <w:divBdr>
        <w:top w:val="none" w:sz="0" w:space="0" w:color="auto"/>
        <w:left w:val="none" w:sz="0" w:space="0" w:color="auto"/>
        <w:bottom w:val="none" w:sz="0" w:space="0" w:color="auto"/>
        <w:right w:val="none" w:sz="0" w:space="0" w:color="auto"/>
      </w:divBdr>
    </w:div>
    <w:div w:id="1402142896">
      <w:bodyDiv w:val="1"/>
      <w:marLeft w:val="0"/>
      <w:marRight w:val="0"/>
      <w:marTop w:val="0"/>
      <w:marBottom w:val="0"/>
      <w:divBdr>
        <w:top w:val="none" w:sz="0" w:space="0" w:color="auto"/>
        <w:left w:val="none" w:sz="0" w:space="0" w:color="auto"/>
        <w:bottom w:val="none" w:sz="0" w:space="0" w:color="auto"/>
        <w:right w:val="none" w:sz="0" w:space="0" w:color="auto"/>
      </w:divBdr>
    </w:div>
    <w:div w:id="1409494686">
      <w:bodyDiv w:val="1"/>
      <w:marLeft w:val="0"/>
      <w:marRight w:val="0"/>
      <w:marTop w:val="0"/>
      <w:marBottom w:val="0"/>
      <w:divBdr>
        <w:top w:val="none" w:sz="0" w:space="0" w:color="auto"/>
        <w:left w:val="none" w:sz="0" w:space="0" w:color="auto"/>
        <w:bottom w:val="none" w:sz="0" w:space="0" w:color="auto"/>
        <w:right w:val="none" w:sz="0" w:space="0" w:color="auto"/>
      </w:divBdr>
    </w:div>
    <w:div w:id="1417440654">
      <w:bodyDiv w:val="1"/>
      <w:marLeft w:val="0"/>
      <w:marRight w:val="0"/>
      <w:marTop w:val="0"/>
      <w:marBottom w:val="0"/>
      <w:divBdr>
        <w:top w:val="none" w:sz="0" w:space="0" w:color="auto"/>
        <w:left w:val="none" w:sz="0" w:space="0" w:color="auto"/>
        <w:bottom w:val="none" w:sz="0" w:space="0" w:color="auto"/>
        <w:right w:val="none" w:sz="0" w:space="0" w:color="auto"/>
      </w:divBdr>
    </w:div>
    <w:div w:id="1419213720">
      <w:bodyDiv w:val="1"/>
      <w:marLeft w:val="0"/>
      <w:marRight w:val="0"/>
      <w:marTop w:val="0"/>
      <w:marBottom w:val="0"/>
      <w:divBdr>
        <w:top w:val="none" w:sz="0" w:space="0" w:color="auto"/>
        <w:left w:val="none" w:sz="0" w:space="0" w:color="auto"/>
        <w:bottom w:val="none" w:sz="0" w:space="0" w:color="auto"/>
        <w:right w:val="none" w:sz="0" w:space="0" w:color="auto"/>
      </w:divBdr>
    </w:div>
    <w:div w:id="1420640220">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4349625">
      <w:bodyDiv w:val="1"/>
      <w:marLeft w:val="0"/>
      <w:marRight w:val="0"/>
      <w:marTop w:val="0"/>
      <w:marBottom w:val="0"/>
      <w:divBdr>
        <w:top w:val="none" w:sz="0" w:space="0" w:color="auto"/>
        <w:left w:val="none" w:sz="0" w:space="0" w:color="auto"/>
        <w:bottom w:val="none" w:sz="0" w:space="0" w:color="auto"/>
        <w:right w:val="none" w:sz="0" w:space="0" w:color="auto"/>
      </w:divBdr>
      <w:divsChild>
        <w:div w:id="2130128039">
          <w:marLeft w:val="0"/>
          <w:marRight w:val="0"/>
          <w:marTop w:val="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4250792">
      <w:bodyDiv w:val="1"/>
      <w:marLeft w:val="0"/>
      <w:marRight w:val="0"/>
      <w:marTop w:val="0"/>
      <w:marBottom w:val="0"/>
      <w:divBdr>
        <w:top w:val="none" w:sz="0" w:space="0" w:color="auto"/>
        <w:left w:val="none" w:sz="0" w:space="0" w:color="auto"/>
        <w:bottom w:val="none" w:sz="0" w:space="0" w:color="auto"/>
        <w:right w:val="none" w:sz="0" w:space="0" w:color="auto"/>
      </w:divBdr>
    </w:div>
    <w:div w:id="1456943996">
      <w:bodyDiv w:val="1"/>
      <w:marLeft w:val="0"/>
      <w:marRight w:val="0"/>
      <w:marTop w:val="0"/>
      <w:marBottom w:val="0"/>
      <w:divBdr>
        <w:top w:val="none" w:sz="0" w:space="0" w:color="auto"/>
        <w:left w:val="none" w:sz="0" w:space="0" w:color="auto"/>
        <w:bottom w:val="none" w:sz="0" w:space="0" w:color="auto"/>
        <w:right w:val="none" w:sz="0" w:space="0" w:color="auto"/>
      </w:divBdr>
    </w:div>
    <w:div w:id="145995765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5926588">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8571659">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863880">
      <w:bodyDiv w:val="1"/>
      <w:marLeft w:val="0"/>
      <w:marRight w:val="0"/>
      <w:marTop w:val="0"/>
      <w:marBottom w:val="0"/>
      <w:divBdr>
        <w:top w:val="none" w:sz="0" w:space="0" w:color="auto"/>
        <w:left w:val="none" w:sz="0" w:space="0" w:color="auto"/>
        <w:bottom w:val="none" w:sz="0" w:space="0" w:color="auto"/>
        <w:right w:val="none" w:sz="0" w:space="0" w:color="auto"/>
      </w:divBdr>
      <w:divsChild>
        <w:div w:id="795492525">
          <w:marLeft w:val="0"/>
          <w:marRight w:val="0"/>
          <w:marTop w:val="0"/>
          <w:marBottom w:val="0"/>
          <w:divBdr>
            <w:top w:val="none" w:sz="0" w:space="0" w:color="auto"/>
            <w:left w:val="none" w:sz="0" w:space="0" w:color="auto"/>
            <w:bottom w:val="none" w:sz="0" w:space="0" w:color="auto"/>
            <w:right w:val="none" w:sz="0" w:space="0" w:color="auto"/>
          </w:divBdr>
          <w:divsChild>
            <w:div w:id="18117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81363">
      <w:bodyDiv w:val="1"/>
      <w:marLeft w:val="0"/>
      <w:marRight w:val="0"/>
      <w:marTop w:val="0"/>
      <w:marBottom w:val="0"/>
      <w:divBdr>
        <w:top w:val="none" w:sz="0" w:space="0" w:color="auto"/>
        <w:left w:val="none" w:sz="0" w:space="0" w:color="auto"/>
        <w:bottom w:val="none" w:sz="0" w:space="0" w:color="auto"/>
        <w:right w:val="none" w:sz="0" w:space="0" w:color="auto"/>
      </w:divBdr>
    </w:div>
    <w:div w:id="150073210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616297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7497055">
      <w:bodyDiv w:val="1"/>
      <w:marLeft w:val="0"/>
      <w:marRight w:val="0"/>
      <w:marTop w:val="0"/>
      <w:marBottom w:val="0"/>
      <w:divBdr>
        <w:top w:val="none" w:sz="0" w:space="0" w:color="auto"/>
        <w:left w:val="none" w:sz="0" w:space="0" w:color="auto"/>
        <w:bottom w:val="none" w:sz="0" w:space="0" w:color="auto"/>
        <w:right w:val="none" w:sz="0" w:space="0" w:color="auto"/>
      </w:divBdr>
    </w:div>
    <w:div w:id="1518689979">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087915">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5017306">
      <w:bodyDiv w:val="1"/>
      <w:marLeft w:val="0"/>
      <w:marRight w:val="0"/>
      <w:marTop w:val="0"/>
      <w:marBottom w:val="0"/>
      <w:divBdr>
        <w:top w:val="none" w:sz="0" w:space="0" w:color="auto"/>
        <w:left w:val="none" w:sz="0" w:space="0" w:color="auto"/>
        <w:bottom w:val="none" w:sz="0" w:space="0" w:color="auto"/>
        <w:right w:val="none" w:sz="0" w:space="0" w:color="auto"/>
      </w:divBdr>
      <w:divsChild>
        <w:div w:id="894512332">
          <w:marLeft w:val="0"/>
          <w:marRight w:val="0"/>
          <w:marTop w:val="0"/>
          <w:marBottom w:val="0"/>
          <w:divBdr>
            <w:top w:val="none" w:sz="0" w:space="0" w:color="auto"/>
            <w:left w:val="none" w:sz="0" w:space="0" w:color="auto"/>
            <w:bottom w:val="none" w:sz="0" w:space="0" w:color="auto"/>
            <w:right w:val="none" w:sz="0" w:space="0" w:color="auto"/>
          </w:divBdr>
          <w:divsChild>
            <w:div w:id="1829706935">
              <w:marLeft w:val="0"/>
              <w:marRight w:val="0"/>
              <w:marTop w:val="0"/>
              <w:marBottom w:val="0"/>
              <w:divBdr>
                <w:top w:val="none" w:sz="0" w:space="0" w:color="auto"/>
                <w:left w:val="none" w:sz="0" w:space="0" w:color="auto"/>
                <w:bottom w:val="none" w:sz="0" w:space="0" w:color="auto"/>
                <w:right w:val="none" w:sz="0" w:space="0" w:color="auto"/>
              </w:divBdr>
              <w:divsChild>
                <w:div w:id="482427725">
                  <w:marLeft w:val="600"/>
                  <w:marRight w:val="600"/>
                  <w:marTop w:val="0"/>
                  <w:marBottom w:val="0"/>
                  <w:divBdr>
                    <w:top w:val="none" w:sz="0" w:space="0" w:color="auto"/>
                    <w:left w:val="none" w:sz="0" w:space="0" w:color="auto"/>
                    <w:bottom w:val="none" w:sz="0" w:space="0" w:color="auto"/>
                    <w:right w:val="none" w:sz="0" w:space="0" w:color="auto"/>
                  </w:divBdr>
                  <w:divsChild>
                    <w:div w:id="168761817">
                      <w:marLeft w:val="0"/>
                      <w:marRight w:val="0"/>
                      <w:marTop w:val="0"/>
                      <w:marBottom w:val="0"/>
                      <w:divBdr>
                        <w:top w:val="none" w:sz="0" w:space="0" w:color="auto"/>
                        <w:left w:val="none" w:sz="0" w:space="0" w:color="auto"/>
                        <w:bottom w:val="none" w:sz="0" w:space="0" w:color="auto"/>
                        <w:right w:val="none" w:sz="0" w:space="0" w:color="auto"/>
                      </w:divBdr>
                      <w:divsChild>
                        <w:div w:id="1024984074">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224678">
      <w:bodyDiv w:val="1"/>
      <w:marLeft w:val="0"/>
      <w:marRight w:val="0"/>
      <w:marTop w:val="0"/>
      <w:marBottom w:val="0"/>
      <w:divBdr>
        <w:top w:val="none" w:sz="0" w:space="0" w:color="auto"/>
        <w:left w:val="none" w:sz="0" w:space="0" w:color="auto"/>
        <w:bottom w:val="none" w:sz="0" w:space="0" w:color="auto"/>
        <w:right w:val="none" w:sz="0" w:space="0" w:color="auto"/>
      </w:divBdr>
      <w:divsChild>
        <w:div w:id="1715235506">
          <w:marLeft w:val="0"/>
          <w:marRight w:val="0"/>
          <w:marTop w:val="0"/>
          <w:marBottom w:val="300"/>
          <w:divBdr>
            <w:top w:val="none" w:sz="0" w:space="0" w:color="auto"/>
            <w:left w:val="none" w:sz="0" w:space="0" w:color="auto"/>
            <w:bottom w:val="none" w:sz="0" w:space="0" w:color="auto"/>
            <w:right w:val="none" w:sz="0" w:space="0" w:color="auto"/>
          </w:divBdr>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690753">
      <w:bodyDiv w:val="1"/>
      <w:marLeft w:val="0"/>
      <w:marRight w:val="0"/>
      <w:marTop w:val="0"/>
      <w:marBottom w:val="0"/>
      <w:divBdr>
        <w:top w:val="none" w:sz="0" w:space="0" w:color="auto"/>
        <w:left w:val="none" w:sz="0" w:space="0" w:color="auto"/>
        <w:bottom w:val="none" w:sz="0" w:space="0" w:color="auto"/>
        <w:right w:val="none" w:sz="0" w:space="0" w:color="auto"/>
      </w:divBdr>
    </w:div>
    <w:div w:id="1571382678">
      <w:bodyDiv w:val="1"/>
      <w:marLeft w:val="0"/>
      <w:marRight w:val="0"/>
      <w:marTop w:val="0"/>
      <w:marBottom w:val="0"/>
      <w:divBdr>
        <w:top w:val="none" w:sz="0" w:space="0" w:color="auto"/>
        <w:left w:val="none" w:sz="0" w:space="0" w:color="auto"/>
        <w:bottom w:val="none" w:sz="0" w:space="0" w:color="auto"/>
        <w:right w:val="none" w:sz="0" w:space="0" w:color="auto"/>
      </w:divBdr>
    </w:div>
    <w:div w:id="1574583951">
      <w:bodyDiv w:val="1"/>
      <w:marLeft w:val="0"/>
      <w:marRight w:val="0"/>
      <w:marTop w:val="0"/>
      <w:marBottom w:val="0"/>
      <w:divBdr>
        <w:top w:val="none" w:sz="0" w:space="0" w:color="auto"/>
        <w:left w:val="none" w:sz="0" w:space="0" w:color="auto"/>
        <w:bottom w:val="none" w:sz="0" w:space="0" w:color="auto"/>
        <w:right w:val="none" w:sz="0" w:space="0" w:color="auto"/>
      </w:divBdr>
    </w:div>
    <w:div w:id="1583757721">
      <w:bodyDiv w:val="1"/>
      <w:marLeft w:val="0"/>
      <w:marRight w:val="0"/>
      <w:marTop w:val="0"/>
      <w:marBottom w:val="0"/>
      <w:divBdr>
        <w:top w:val="none" w:sz="0" w:space="0" w:color="auto"/>
        <w:left w:val="none" w:sz="0" w:space="0" w:color="auto"/>
        <w:bottom w:val="none" w:sz="0" w:space="0" w:color="auto"/>
        <w:right w:val="none" w:sz="0" w:space="0" w:color="auto"/>
      </w:divBdr>
    </w:div>
    <w:div w:id="1590772753">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167449">
      <w:bodyDiv w:val="1"/>
      <w:marLeft w:val="0"/>
      <w:marRight w:val="0"/>
      <w:marTop w:val="0"/>
      <w:marBottom w:val="0"/>
      <w:divBdr>
        <w:top w:val="none" w:sz="0" w:space="0" w:color="auto"/>
        <w:left w:val="none" w:sz="0" w:space="0" w:color="auto"/>
        <w:bottom w:val="none" w:sz="0" w:space="0" w:color="auto"/>
        <w:right w:val="none" w:sz="0" w:space="0" w:color="auto"/>
      </w:divBdr>
      <w:divsChild>
        <w:div w:id="1372071716">
          <w:marLeft w:val="0"/>
          <w:marRight w:val="0"/>
          <w:marTop w:val="0"/>
          <w:marBottom w:val="0"/>
          <w:divBdr>
            <w:top w:val="none" w:sz="0" w:space="0" w:color="auto"/>
            <w:left w:val="none" w:sz="0" w:space="0" w:color="auto"/>
            <w:bottom w:val="none" w:sz="0" w:space="0" w:color="auto"/>
            <w:right w:val="none" w:sz="0" w:space="0" w:color="auto"/>
          </w:divBdr>
        </w:div>
      </w:divsChild>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781781">
      <w:bodyDiv w:val="1"/>
      <w:marLeft w:val="0"/>
      <w:marRight w:val="0"/>
      <w:marTop w:val="0"/>
      <w:marBottom w:val="0"/>
      <w:divBdr>
        <w:top w:val="none" w:sz="0" w:space="0" w:color="auto"/>
        <w:left w:val="none" w:sz="0" w:space="0" w:color="auto"/>
        <w:bottom w:val="none" w:sz="0" w:space="0" w:color="auto"/>
        <w:right w:val="none" w:sz="0" w:space="0" w:color="auto"/>
      </w:divBdr>
    </w:div>
    <w:div w:id="1619488672">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39652158">
      <w:bodyDiv w:val="1"/>
      <w:marLeft w:val="0"/>
      <w:marRight w:val="0"/>
      <w:marTop w:val="0"/>
      <w:marBottom w:val="0"/>
      <w:divBdr>
        <w:top w:val="none" w:sz="0" w:space="0" w:color="auto"/>
        <w:left w:val="none" w:sz="0" w:space="0" w:color="auto"/>
        <w:bottom w:val="none" w:sz="0" w:space="0" w:color="auto"/>
        <w:right w:val="none" w:sz="0" w:space="0" w:color="auto"/>
      </w:divBdr>
    </w:div>
    <w:div w:id="1642542165">
      <w:bodyDiv w:val="1"/>
      <w:marLeft w:val="0"/>
      <w:marRight w:val="0"/>
      <w:marTop w:val="0"/>
      <w:marBottom w:val="0"/>
      <w:divBdr>
        <w:top w:val="none" w:sz="0" w:space="0" w:color="auto"/>
        <w:left w:val="none" w:sz="0" w:space="0" w:color="auto"/>
        <w:bottom w:val="none" w:sz="0" w:space="0" w:color="auto"/>
        <w:right w:val="none" w:sz="0" w:space="0" w:color="auto"/>
      </w:divBdr>
    </w:div>
    <w:div w:id="1645502714">
      <w:bodyDiv w:val="1"/>
      <w:marLeft w:val="0"/>
      <w:marRight w:val="0"/>
      <w:marTop w:val="0"/>
      <w:marBottom w:val="0"/>
      <w:divBdr>
        <w:top w:val="none" w:sz="0" w:space="0" w:color="auto"/>
        <w:left w:val="none" w:sz="0" w:space="0" w:color="auto"/>
        <w:bottom w:val="none" w:sz="0" w:space="0" w:color="auto"/>
        <w:right w:val="none" w:sz="0" w:space="0" w:color="auto"/>
      </w:divBdr>
      <w:divsChild>
        <w:div w:id="1254975131">
          <w:marLeft w:val="0"/>
          <w:marRight w:val="0"/>
          <w:marTop w:val="0"/>
          <w:marBottom w:val="0"/>
          <w:divBdr>
            <w:top w:val="none" w:sz="0" w:space="0" w:color="auto"/>
            <w:left w:val="none" w:sz="0" w:space="0" w:color="auto"/>
            <w:bottom w:val="none" w:sz="0" w:space="0" w:color="auto"/>
            <w:right w:val="none" w:sz="0" w:space="0" w:color="auto"/>
          </w:divBdr>
          <w:divsChild>
            <w:div w:id="18064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48522">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53758208">
      <w:bodyDiv w:val="1"/>
      <w:marLeft w:val="0"/>
      <w:marRight w:val="0"/>
      <w:marTop w:val="0"/>
      <w:marBottom w:val="0"/>
      <w:divBdr>
        <w:top w:val="none" w:sz="0" w:space="0" w:color="auto"/>
        <w:left w:val="none" w:sz="0" w:space="0" w:color="auto"/>
        <w:bottom w:val="none" w:sz="0" w:space="0" w:color="auto"/>
        <w:right w:val="none" w:sz="0" w:space="0" w:color="auto"/>
      </w:divBdr>
    </w:div>
    <w:div w:id="1655141217">
      <w:bodyDiv w:val="1"/>
      <w:marLeft w:val="0"/>
      <w:marRight w:val="0"/>
      <w:marTop w:val="0"/>
      <w:marBottom w:val="0"/>
      <w:divBdr>
        <w:top w:val="none" w:sz="0" w:space="0" w:color="auto"/>
        <w:left w:val="none" w:sz="0" w:space="0" w:color="auto"/>
        <w:bottom w:val="none" w:sz="0" w:space="0" w:color="auto"/>
        <w:right w:val="none" w:sz="0" w:space="0" w:color="auto"/>
      </w:divBdr>
    </w:div>
    <w:div w:id="1662542513">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7705572">
      <w:bodyDiv w:val="1"/>
      <w:marLeft w:val="0"/>
      <w:marRight w:val="0"/>
      <w:marTop w:val="0"/>
      <w:marBottom w:val="0"/>
      <w:divBdr>
        <w:top w:val="none" w:sz="0" w:space="0" w:color="auto"/>
        <w:left w:val="none" w:sz="0" w:space="0" w:color="auto"/>
        <w:bottom w:val="none" w:sz="0" w:space="0" w:color="auto"/>
        <w:right w:val="none" w:sz="0" w:space="0" w:color="auto"/>
      </w:divBdr>
    </w:div>
    <w:div w:id="167190586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3798773">
      <w:bodyDiv w:val="1"/>
      <w:marLeft w:val="0"/>
      <w:marRight w:val="0"/>
      <w:marTop w:val="0"/>
      <w:marBottom w:val="0"/>
      <w:divBdr>
        <w:top w:val="none" w:sz="0" w:space="0" w:color="auto"/>
        <w:left w:val="none" w:sz="0" w:space="0" w:color="auto"/>
        <w:bottom w:val="none" w:sz="0" w:space="0" w:color="auto"/>
        <w:right w:val="none" w:sz="0" w:space="0" w:color="auto"/>
      </w:divBdr>
    </w:div>
    <w:div w:id="1684436117">
      <w:bodyDiv w:val="1"/>
      <w:marLeft w:val="0"/>
      <w:marRight w:val="0"/>
      <w:marTop w:val="0"/>
      <w:marBottom w:val="0"/>
      <w:divBdr>
        <w:top w:val="none" w:sz="0" w:space="0" w:color="auto"/>
        <w:left w:val="none" w:sz="0" w:space="0" w:color="auto"/>
        <w:bottom w:val="none" w:sz="0" w:space="0" w:color="auto"/>
        <w:right w:val="none" w:sz="0" w:space="0" w:color="auto"/>
      </w:divBdr>
    </w:div>
    <w:div w:id="1688632544">
      <w:bodyDiv w:val="1"/>
      <w:marLeft w:val="0"/>
      <w:marRight w:val="0"/>
      <w:marTop w:val="0"/>
      <w:marBottom w:val="0"/>
      <w:divBdr>
        <w:top w:val="none" w:sz="0" w:space="0" w:color="auto"/>
        <w:left w:val="none" w:sz="0" w:space="0" w:color="auto"/>
        <w:bottom w:val="none" w:sz="0" w:space="0" w:color="auto"/>
        <w:right w:val="none" w:sz="0" w:space="0" w:color="auto"/>
      </w:divBdr>
      <w:divsChild>
        <w:div w:id="1061103291">
          <w:marLeft w:val="0"/>
          <w:marRight w:val="0"/>
          <w:marTop w:val="0"/>
          <w:marBottom w:val="0"/>
          <w:divBdr>
            <w:top w:val="none" w:sz="0" w:space="0" w:color="auto"/>
            <w:left w:val="none" w:sz="0" w:space="0" w:color="auto"/>
            <w:bottom w:val="none" w:sz="0" w:space="0" w:color="auto"/>
            <w:right w:val="none" w:sz="0" w:space="0" w:color="auto"/>
          </w:divBdr>
          <w:divsChild>
            <w:div w:id="15987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0082">
      <w:bodyDiv w:val="1"/>
      <w:marLeft w:val="0"/>
      <w:marRight w:val="0"/>
      <w:marTop w:val="0"/>
      <w:marBottom w:val="0"/>
      <w:divBdr>
        <w:top w:val="none" w:sz="0" w:space="0" w:color="auto"/>
        <w:left w:val="none" w:sz="0" w:space="0" w:color="auto"/>
        <w:bottom w:val="none" w:sz="0" w:space="0" w:color="auto"/>
        <w:right w:val="none" w:sz="0" w:space="0" w:color="auto"/>
      </w:divBdr>
    </w:div>
    <w:div w:id="1716005593">
      <w:bodyDiv w:val="1"/>
      <w:marLeft w:val="0"/>
      <w:marRight w:val="0"/>
      <w:marTop w:val="0"/>
      <w:marBottom w:val="0"/>
      <w:divBdr>
        <w:top w:val="none" w:sz="0" w:space="0" w:color="auto"/>
        <w:left w:val="none" w:sz="0" w:space="0" w:color="auto"/>
        <w:bottom w:val="none" w:sz="0" w:space="0" w:color="auto"/>
        <w:right w:val="none" w:sz="0" w:space="0" w:color="auto"/>
      </w:divBdr>
    </w:div>
    <w:div w:id="1717197287">
      <w:bodyDiv w:val="1"/>
      <w:marLeft w:val="0"/>
      <w:marRight w:val="0"/>
      <w:marTop w:val="0"/>
      <w:marBottom w:val="0"/>
      <w:divBdr>
        <w:top w:val="none" w:sz="0" w:space="0" w:color="auto"/>
        <w:left w:val="none" w:sz="0" w:space="0" w:color="auto"/>
        <w:bottom w:val="none" w:sz="0" w:space="0" w:color="auto"/>
        <w:right w:val="none" w:sz="0" w:space="0" w:color="auto"/>
      </w:divBdr>
    </w:div>
    <w:div w:id="1718428254">
      <w:bodyDiv w:val="1"/>
      <w:marLeft w:val="0"/>
      <w:marRight w:val="0"/>
      <w:marTop w:val="0"/>
      <w:marBottom w:val="0"/>
      <w:divBdr>
        <w:top w:val="none" w:sz="0" w:space="0" w:color="auto"/>
        <w:left w:val="none" w:sz="0" w:space="0" w:color="auto"/>
        <w:bottom w:val="none" w:sz="0" w:space="0" w:color="auto"/>
        <w:right w:val="none" w:sz="0" w:space="0" w:color="auto"/>
      </w:divBdr>
    </w:div>
    <w:div w:id="173370015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1345">
      <w:bodyDiv w:val="1"/>
      <w:marLeft w:val="0"/>
      <w:marRight w:val="0"/>
      <w:marTop w:val="0"/>
      <w:marBottom w:val="0"/>
      <w:divBdr>
        <w:top w:val="none" w:sz="0" w:space="0" w:color="auto"/>
        <w:left w:val="none" w:sz="0" w:space="0" w:color="auto"/>
        <w:bottom w:val="none" w:sz="0" w:space="0" w:color="auto"/>
        <w:right w:val="none" w:sz="0" w:space="0" w:color="auto"/>
      </w:divBdr>
    </w:div>
    <w:div w:id="1747607643">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6801735">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89935737">
      <w:bodyDiv w:val="1"/>
      <w:marLeft w:val="0"/>
      <w:marRight w:val="0"/>
      <w:marTop w:val="0"/>
      <w:marBottom w:val="0"/>
      <w:divBdr>
        <w:top w:val="none" w:sz="0" w:space="0" w:color="auto"/>
        <w:left w:val="none" w:sz="0" w:space="0" w:color="auto"/>
        <w:bottom w:val="none" w:sz="0" w:space="0" w:color="auto"/>
        <w:right w:val="none" w:sz="0" w:space="0" w:color="auto"/>
      </w:divBdr>
    </w:div>
    <w:div w:id="1790398081">
      <w:bodyDiv w:val="1"/>
      <w:marLeft w:val="0"/>
      <w:marRight w:val="0"/>
      <w:marTop w:val="0"/>
      <w:marBottom w:val="0"/>
      <w:divBdr>
        <w:top w:val="none" w:sz="0" w:space="0" w:color="auto"/>
        <w:left w:val="none" w:sz="0" w:space="0" w:color="auto"/>
        <w:bottom w:val="none" w:sz="0" w:space="0" w:color="auto"/>
        <w:right w:val="none" w:sz="0" w:space="0" w:color="auto"/>
      </w:divBdr>
    </w:div>
    <w:div w:id="1790708262">
      <w:bodyDiv w:val="1"/>
      <w:marLeft w:val="0"/>
      <w:marRight w:val="0"/>
      <w:marTop w:val="0"/>
      <w:marBottom w:val="0"/>
      <w:divBdr>
        <w:top w:val="none" w:sz="0" w:space="0" w:color="auto"/>
        <w:left w:val="none" w:sz="0" w:space="0" w:color="auto"/>
        <w:bottom w:val="none" w:sz="0" w:space="0" w:color="auto"/>
        <w:right w:val="none" w:sz="0" w:space="0" w:color="auto"/>
      </w:divBdr>
    </w:div>
    <w:div w:id="1791969946">
      <w:bodyDiv w:val="1"/>
      <w:marLeft w:val="0"/>
      <w:marRight w:val="0"/>
      <w:marTop w:val="0"/>
      <w:marBottom w:val="0"/>
      <w:divBdr>
        <w:top w:val="none" w:sz="0" w:space="0" w:color="auto"/>
        <w:left w:val="none" w:sz="0" w:space="0" w:color="auto"/>
        <w:bottom w:val="none" w:sz="0" w:space="0" w:color="auto"/>
        <w:right w:val="none" w:sz="0" w:space="0" w:color="auto"/>
      </w:divBdr>
      <w:divsChild>
        <w:div w:id="2095474321">
          <w:marLeft w:val="0"/>
          <w:marRight w:val="0"/>
          <w:marTop w:val="0"/>
          <w:marBottom w:val="0"/>
          <w:divBdr>
            <w:top w:val="none" w:sz="0" w:space="0" w:color="auto"/>
            <w:left w:val="none" w:sz="0" w:space="0" w:color="auto"/>
            <w:bottom w:val="none" w:sz="0" w:space="0" w:color="auto"/>
            <w:right w:val="none" w:sz="0" w:space="0" w:color="auto"/>
          </w:divBdr>
        </w:div>
      </w:divsChild>
    </w:div>
    <w:div w:id="1796100182">
      <w:bodyDiv w:val="1"/>
      <w:marLeft w:val="0"/>
      <w:marRight w:val="0"/>
      <w:marTop w:val="0"/>
      <w:marBottom w:val="0"/>
      <w:divBdr>
        <w:top w:val="none" w:sz="0" w:space="0" w:color="auto"/>
        <w:left w:val="none" w:sz="0" w:space="0" w:color="auto"/>
        <w:bottom w:val="none" w:sz="0" w:space="0" w:color="auto"/>
        <w:right w:val="none" w:sz="0" w:space="0" w:color="auto"/>
      </w:divBdr>
    </w:div>
    <w:div w:id="1808815012">
      <w:bodyDiv w:val="1"/>
      <w:marLeft w:val="0"/>
      <w:marRight w:val="0"/>
      <w:marTop w:val="0"/>
      <w:marBottom w:val="0"/>
      <w:divBdr>
        <w:top w:val="none" w:sz="0" w:space="0" w:color="auto"/>
        <w:left w:val="none" w:sz="0" w:space="0" w:color="auto"/>
        <w:bottom w:val="none" w:sz="0" w:space="0" w:color="auto"/>
        <w:right w:val="none" w:sz="0" w:space="0" w:color="auto"/>
      </w:divBdr>
    </w:div>
    <w:div w:id="1809395035">
      <w:bodyDiv w:val="1"/>
      <w:marLeft w:val="0"/>
      <w:marRight w:val="0"/>
      <w:marTop w:val="0"/>
      <w:marBottom w:val="0"/>
      <w:divBdr>
        <w:top w:val="none" w:sz="0" w:space="0" w:color="auto"/>
        <w:left w:val="none" w:sz="0" w:space="0" w:color="auto"/>
        <w:bottom w:val="none" w:sz="0" w:space="0" w:color="auto"/>
        <w:right w:val="none" w:sz="0" w:space="0" w:color="auto"/>
      </w:divBdr>
    </w:div>
    <w:div w:id="1813018168">
      <w:bodyDiv w:val="1"/>
      <w:marLeft w:val="0"/>
      <w:marRight w:val="0"/>
      <w:marTop w:val="0"/>
      <w:marBottom w:val="0"/>
      <w:divBdr>
        <w:top w:val="none" w:sz="0" w:space="0" w:color="auto"/>
        <w:left w:val="none" w:sz="0" w:space="0" w:color="auto"/>
        <w:bottom w:val="none" w:sz="0" w:space="0" w:color="auto"/>
        <w:right w:val="none" w:sz="0" w:space="0" w:color="auto"/>
      </w:divBdr>
    </w:div>
    <w:div w:id="1816684063">
      <w:bodyDiv w:val="1"/>
      <w:marLeft w:val="0"/>
      <w:marRight w:val="0"/>
      <w:marTop w:val="0"/>
      <w:marBottom w:val="0"/>
      <w:divBdr>
        <w:top w:val="none" w:sz="0" w:space="0" w:color="auto"/>
        <w:left w:val="none" w:sz="0" w:space="0" w:color="auto"/>
        <w:bottom w:val="none" w:sz="0" w:space="0" w:color="auto"/>
        <w:right w:val="none" w:sz="0" w:space="0" w:color="auto"/>
      </w:divBdr>
    </w:div>
    <w:div w:id="1818641840">
      <w:bodyDiv w:val="1"/>
      <w:marLeft w:val="0"/>
      <w:marRight w:val="0"/>
      <w:marTop w:val="0"/>
      <w:marBottom w:val="0"/>
      <w:divBdr>
        <w:top w:val="none" w:sz="0" w:space="0" w:color="auto"/>
        <w:left w:val="none" w:sz="0" w:space="0" w:color="auto"/>
        <w:bottom w:val="none" w:sz="0" w:space="0" w:color="auto"/>
        <w:right w:val="none" w:sz="0" w:space="0" w:color="auto"/>
      </w:divBdr>
      <w:divsChild>
        <w:div w:id="480007559">
          <w:marLeft w:val="0"/>
          <w:marRight w:val="0"/>
          <w:marTop w:val="0"/>
          <w:marBottom w:val="0"/>
          <w:divBdr>
            <w:top w:val="none" w:sz="0" w:space="0" w:color="auto"/>
            <w:left w:val="none" w:sz="0" w:space="0" w:color="auto"/>
            <w:bottom w:val="none" w:sz="0" w:space="0" w:color="auto"/>
            <w:right w:val="none" w:sz="0" w:space="0" w:color="auto"/>
          </w:divBdr>
          <w:divsChild>
            <w:div w:id="121111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84855">
      <w:bodyDiv w:val="1"/>
      <w:marLeft w:val="0"/>
      <w:marRight w:val="0"/>
      <w:marTop w:val="0"/>
      <w:marBottom w:val="0"/>
      <w:divBdr>
        <w:top w:val="none" w:sz="0" w:space="0" w:color="auto"/>
        <w:left w:val="none" w:sz="0" w:space="0" w:color="auto"/>
        <w:bottom w:val="none" w:sz="0" w:space="0" w:color="auto"/>
        <w:right w:val="none" w:sz="0" w:space="0" w:color="auto"/>
      </w:divBdr>
    </w:div>
    <w:div w:id="1826579933">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2621227">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7710997">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1111606">
      <w:bodyDiv w:val="1"/>
      <w:marLeft w:val="0"/>
      <w:marRight w:val="0"/>
      <w:marTop w:val="0"/>
      <w:marBottom w:val="0"/>
      <w:divBdr>
        <w:top w:val="none" w:sz="0" w:space="0" w:color="auto"/>
        <w:left w:val="none" w:sz="0" w:space="0" w:color="auto"/>
        <w:bottom w:val="none" w:sz="0" w:space="0" w:color="auto"/>
        <w:right w:val="none" w:sz="0" w:space="0" w:color="auto"/>
      </w:divBdr>
    </w:div>
    <w:div w:id="1904565567">
      <w:bodyDiv w:val="1"/>
      <w:marLeft w:val="0"/>
      <w:marRight w:val="0"/>
      <w:marTop w:val="0"/>
      <w:marBottom w:val="0"/>
      <w:divBdr>
        <w:top w:val="none" w:sz="0" w:space="0" w:color="auto"/>
        <w:left w:val="none" w:sz="0" w:space="0" w:color="auto"/>
        <w:bottom w:val="none" w:sz="0" w:space="0" w:color="auto"/>
        <w:right w:val="none" w:sz="0" w:space="0" w:color="auto"/>
      </w:divBdr>
    </w:div>
    <w:div w:id="1906408618">
      <w:bodyDiv w:val="1"/>
      <w:marLeft w:val="0"/>
      <w:marRight w:val="0"/>
      <w:marTop w:val="0"/>
      <w:marBottom w:val="0"/>
      <w:divBdr>
        <w:top w:val="none" w:sz="0" w:space="0" w:color="auto"/>
        <w:left w:val="none" w:sz="0" w:space="0" w:color="auto"/>
        <w:bottom w:val="none" w:sz="0" w:space="0" w:color="auto"/>
        <w:right w:val="none" w:sz="0" w:space="0" w:color="auto"/>
      </w:divBdr>
    </w:div>
    <w:div w:id="1910268502">
      <w:bodyDiv w:val="1"/>
      <w:marLeft w:val="0"/>
      <w:marRight w:val="0"/>
      <w:marTop w:val="0"/>
      <w:marBottom w:val="0"/>
      <w:divBdr>
        <w:top w:val="none" w:sz="0" w:space="0" w:color="auto"/>
        <w:left w:val="none" w:sz="0" w:space="0" w:color="auto"/>
        <w:bottom w:val="none" w:sz="0" w:space="0" w:color="auto"/>
        <w:right w:val="none" w:sz="0" w:space="0" w:color="auto"/>
      </w:divBdr>
    </w:div>
    <w:div w:id="1912039926">
      <w:bodyDiv w:val="1"/>
      <w:marLeft w:val="0"/>
      <w:marRight w:val="0"/>
      <w:marTop w:val="0"/>
      <w:marBottom w:val="0"/>
      <w:divBdr>
        <w:top w:val="none" w:sz="0" w:space="0" w:color="auto"/>
        <w:left w:val="none" w:sz="0" w:space="0" w:color="auto"/>
        <w:bottom w:val="none" w:sz="0" w:space="0" w:color="auto"/>
        <w:right w:val="none" w:sz="0" w:space="0" w:color="auto"/>
      </w:divBdr>
    </w:div>
    <w:div w:id="1913806289">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264581">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2179361">
      <w:bodyDiv w:val="1"/>
      <w:marLeft w:val="0"/>
      <w:marRight w:val="0"/>
      <w:marTop w:val="0"/>
      <w:marBottom w:val="0"/>
      <w:divBdr>
        <w:top w:val="none" w:sz="0" w:space="0" w:color="auto"/>
        <w:left w:val="none" w:sz="0" w:space="0" w:color="auto"/>
        <w:bottom w:val="none" w:sz="0" w:space="0" w:color="auto"/>
        <w:right w:val="none" w:sz="0" w:space="0" w:color="auto"/>
      </w:divBdr>
    </w:div>
    <w:div w:id="1943415730">
      <w:bodyDiv w:val="1"/>
      <w:marLeft w:val="0"/>
      <w:marRight w:val="0"/>
      <w:marTop w:val="0"/>
      <w:marBottom w:val="0"/>
      <w:divBdr>
        <w:top w:val="none" w:sz="0" w:space="0" w:color="auto"/>
        <w:left w:val="none" w:sz="0" w:space="0" w:color="auto"/>
        <w:bottom w:val="none" w:sz="0" w:space="0" w:color="auto"/>
        <w:right w:val="none" w:sz="0" w:space="0" w:color="auto"/>
      </w:divBdr>
    </w:div>
    <w:div w:id="1952665448">
      <w:bodyDiv w:val="1"/>
      <w:marLeft w:val="0"/>
      <w:marRight w:val="0"/>
      <w:marTop w:val="0"/>
      <w:marBottom w:val="0"/>
      <w:divBdr>
        <w:top w:val="none" w:sz="0" w:space="0" w:color="auto"/>
        <w:left w:val="none" w:sz="0" w:space="0" w:color="auto"/>
        <w:bottom w:val="none" w:sz="0" w:space="0" w:color="auto"/>
        <w:right w:val="none" w:sz="0" w:space="0" w:color="auto"/>
      </w:divBdr>
    </w:div>
    <w:div w:id="1954092076">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61191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927111">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3409305">
      <w:bodyDiv w:val="1"/>
      <w:marLeft w:val="0"/>
      <w:marRight w:val="0"/>
      <w:marTop w:val="0"/>
      <w:marBottom w:val="0"/>
      <w:divBdr>
        <w:top w:val="none" w:sz="0" w:space="0" w:color="auto"/>
        <w:left w:val="none" w:sz="0" w:space="0" w:color="auto"/>
        <w:bottom w:val="none" w:sz="0" w:space="0" w:color="auto"/>
        <w:right w:val="none" w:sz="0" w:space="0" w:color="auto"/>
      </w:divBdr>
    </w:div>
    <w:div w:id="1998223777">
      <w:bodyDiv w:val="1"/>
      <w:marLeft w:val="0"/>
      <w:marRight w:val="0"/>
      <w:marTop w:val="0"/>
      <w:marBottom w:val="0"/>
      <w:divBdr>
        <w:top w:val="none" w:sz="0" w:space="0" w:color="auto"/>
        <w:left w:val="none" w:sz="0" w:space="0" w:color="auto"/>
        <w:bottom w:val="none" w:sz="0" w:space="0" w:color="auto"/>
        <w:right w:val="none" w:sz="0" w:space="0" w:color="auto"/>
      </w:divBdr>
    </w:div>
    <w:div w:id="2009283188">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7875951">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4355917">
      <w:bodyDiv w:val="1"/>
      <w:marLeft w:val="0"/>
      <w:marRight w:val="0"/>
      <w:marTop w:val="0"/>
      <w:marBottom w:val="0"/>
      <w:divBdr>
        <w:top w:val="none" w:sz="0" w:space="0" w:color="auto"/>
        <w:left w:val="none" w:sz="0" w:space="0" w:color="auto"/>
        <w:bottom w:val="none" w:sz="0" w:space="0" w:color="auto"/>
        <w:right w:val="none" w:sz="0" w:space="0" w:color="auto"/>
      </w:divBdr>
      <w:divsChild>
        <w:div w:id="2126193186">
          <w:marLeft w:val="0"/>
          <w:marRight w:val="0"/>
          <w:marTop w:val="0"/>
          <w:marBottom w:val="0"/>
          <w:divBdr>
            <w:top w:val="none" w:sz="0" w:space="0" w:color="auto"/>
            <w:left w:val="none" w:sz="0" w:space="0" w:color="auto"/>
            <w:bottom w:val="none" w:sz="0" w:space="0" w:color="auto"/>
            <w:right w:val="none" w:sz="0" w:space="0" w:color="auto"/>
          </w:divBdr>
        </w:div>
      </w:divsChild>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6276249">
      <w:bodyDiv w:val="1"/>
      <w:marLeft w:val="0"/>
      <w:marRight w:val="0"/>
      <w:marTop w:val="0"/>
      <w:marBottom w:val="0"/>
      <w:divBdr>
        <w:top w:val="none" w:sz="0" w:space="0" w:color="auto"/>
        <w:left w:val="none" w:sz="0" w:space="0" w:color="auto"/>
        <w:bottom w:val="none" w:sz="0" w:space="0" w:color="auto"/>
        <w:right w:val="none" w:sz="0" w:space="0" w:color="auto"/>
      </w:divBdr>
    </w:div>
    <w:div w:id="2058770718">
      <w:bodyDiv w:val="1"/>
      <w:marLeft w:val="0"/>
      <w:marRight w:val="0"/>
      <w:marTop w:val="0"/>
      <w:marBottom w:val="0"/>
      <w:divBdr>
        <w:top w:val="none" w:sz="0" w:space="0" w:color="auto"/>
        <w:left w:val="none" w:sz="0" w:space="0" w:color="auto"/>
        <w:bottom w:val="none" w:sz="0" w:space="0" w:color="auto"/>
        <w:right w:val="none" w:sz="0" w:space="0" w:color="auto"/>
      </w:divBdr>
      <w:divsChild>
        <w:div w:id="2120953702">
          <w:marLeft w:val="0"/>
          <w:marRight w:val="0"/>
          <w:marTop w:val="0"/>
          <w:marBottom w:val="0"/>
          <w:divBdr>
            <w:top w:val="none" w:sz="0" w:space="0" w:color="auto"/>
            <w:left w:val="none" w:sz="0" w:space="0" w:color="auto"/>
            <w:bottom w:val="none" w:sz="0" w:space="0" w:color="auto"/>
            <w:right w:val="none" w:sz="0" w:space="0" w:color="auto"/>
          </w:divBdr>
        </w:div>
      </w:divsChild>
    </w:div>
    <w:div w:id="2060010090">
      <w:bodyDiv w:val="1"/>
      <w:marLeft w:val="0"/>
      <w:marRight w:val="0"/>
      <w:marTop w:val="0"/>
      <w:marBottom w:val="0"/>
      <w:divBdr>
        <w:top w:val="none" w:sz="0" w:space="0" w:color="auto"/>
        <w:left w:val="none" w:sz="0" w:space="0" w:color="auto"/>
        <w:bottom w:val="none" w:sz="0" w:space="0" w:color="auto"/>
        <w:right w:val="none" w:sz="0" w:space="0" w:color="auto"/>
      </w:divBdr>
    </w:div>
    <w:div w:id="2067759059">
      <w:bodyDiv w:val="1"/>
      <w:marLeft w:val="0"/>
      <w:marRight w:val="0"/>
      <w:marTop w:val="0"/>
      <w:marBottom w:val="0"/>
      <w:divBdr>
        <w:top w:val="none" w:sz="0" w:space="0" w:color="auto"/>
        <w:left w:val="none" w:sz="0" w:space="0" w:color="auto"/>
        <w:bottom w:val="none" w:sz="0" w:space="0" w:color="auto"/>
        <w:right w:val="none" w:sz="0" w:space="0" w:color="auto"/>
      </w:divBdr>
    </w:div>
    <w:div w:id="2070690388">
      <w:bodyDiv w:val="1"/>
      <w:marLeft w:val="0"/>
      <w:marRight w:val="0"/>
      <w:marTop w:val="0"/>
      <w:marBottom w:val="0"/>
      <w:divBdr>
        <w:top w:val="none" w:sz="0" w:space="0" w:color="auto"/>
        <w:left w:val="none" w:sz="0" w:space="0" w:color="auto"/>
        <w:bottom w:val="none" w:sz="0" w:space="0" w:color="auto"/>
        <w:right w:val="none" w:sz="0" w:space="0" w:color="auto"/>
      </w:divBdr>
    </w:div>
    <w:div w:id="2084332161">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0687922">
      <w:bodyDiv w:val="1"/>
      <w:marLeft w:val="0"/>
      <w:marRight w:val="0"/>
      <w:marTop w:val="0"/>
      <w:marBottom w:val="0"/>
      <w:divBdr>
        <w:top w:val="none" w:sz="0" w:space="0" w:color="auto"/>
        <w:left w:val="none" w:sz="0" w:space="0" w:color="auto"/>
        <w:bottom w:val="none" w:sz="0" w:space="0" w:color="auto"/>
        <w:right w:val="none" w:sz="0" w:space="0" w:color="auto"/>
      </w:divBdr>
    </w:div>
    <w:div w:id="2115829805">
      <w:bodyDiv w:val="1"/>
      <w:marLeft w:val="0"/>
      <w:marRight w:val="0"/>
      <w:marTop w:val="0"/>
      <w:marBottom w:val="0"/>
      <w:divBdr>
        <w:top w:val="none" w:sz="0" w:space="0" w:color="auto"/>
        <w:left w:val="none" w:sz="0" w:space="0" w:color="auto"/>
        <w:bottom w:val="none" w:sz="0" w:space="0" w:color="auto"/>
        <w:right w:val="none" w:sz="0" w:space="0" w:color="auto"/>
      </w:divBdr>
    </w:div>
    <w:div w:id="2117211442">
      <w:bodyDiv w:val="1"/>
      <w:marLeft w:val="0"/>
      <w:marRight w:val="0"/>
      <w:marTop w:val="0"/>
      <w:marBottom w:val="0"/>
      <w:divBdr>
        <w:top w:val="none" w:sz="0" w:space="0" w:color="auto"/>
        <w:left w:val="none" w:sz="0" w:space="0" w:color="auto"/>
        <w:bottom w:val="none" w:sz="0" w:space="0" w:color="auto"/>
        <w:right w:val="none" w:sz="0" w:space="0" w:color="auto"/>
      </w:divBdr>
    </w:div>
    <w:div w:id="211998070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alclearenergy.org/articles/2016/10/23/debunking_the_fossil-fuel_subsidy_myth_110091.html" TargetMode="External"/><Relationship Id="rId13" Type="http://schemas.openxmlformats.org/officeDocument/2006/relationships/hyperlink" Target="https://www.thebalance.com/u-s-federal-budget-breakdown-3305789" TargetMode="External"/><Relationship Id="rId18" Type="http://schemas.openxmlformats.org/officeDocument/2006/relationships/hyperlink" Target="https://www.forbes.com/sites/drillinginfo/2016/02/22/debunking-myths-about-federal-oil-gas-subsidies/" TargetMode="External"/><Relationship Id="rId26" Type="http://schemas.openxmlformats.org/officeDocument/2006/relationships/hyperlink" Target="https://www.instituteforenergyresearch.org/renewable/fossil-fuels-dominate-u-s-energy-production-but-receive-a-small-percentage-of-federal-fuel-subsidies/" TargetMode="External"/><Relationship Id="rId39" Type="http://schemas.openxmlformats.org/officeDocument/2006/relationships/hyperlink" Target="http://www.ponarseurasia.org/memo/russia-and-geopolitics-natural-gas-leveraging-or-succumbing-revolution" TargetMode="External"/><Relationship Id="rId3" Type="http://schemas.openxmlformats.org/officeDocument/2006/relationships/styles" Target="styles.xml"/><Relationship Id="rId21" Type="http://schemas.openxmlformats.org/officeDocument/2006/relationships/hyperlink" Target="https://www.forbes.com/sites/drillinginfo/2016/02/22/debunking-myths-about-federal-oil-gas-subsidies/" TargetMode="External"/><Relationship Id="rId34" Type="http://schemas.openxmlformats.org/officeDocument/2006/relationships/hyperlink" Target="http://www.moralcaseforfossilfuels.com/" TargetMode="External"/><Relationship Id="rId42" Type="http://schemas.openxmlformats.org/officeDocument/2006/relationships/hyperlink" Target="https://www.brookings.edu/project/project-on-international-order-and-strategy/"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fr.org/blog/no-tax-breaks-us-oil-and-gas-companies-probably-dont-materially-affect-climate-change" TargetMode="External"/><Relationship Id="rId17" Type="http://schemas.openxmlformats.org/officeDocument/2006/relationships/hyperlink" Target="https://www.thebalance.com/what-is-the-federal-budget-3306305" TargetMode="External"/><Relationship Id="rId25" Type="http://schemas.openxmlformats.org/officeDocument/2006/relationships/hyperlink" Target="https://www.forbes.com/sites/drillinginfo/2016/02/22/debunking-myths-about-federal-oil-gas-subsidies/" TargetMode="External"/><Relationship Id="rId33" Type="http://schemas.openxmlformats.org/officeDocument/2006/relationships/hyperlink" Target="http://travel.state.gov/travel/cis_pa_tw/tw/tw_928.html" TargetMode="External"/><Relationship Id="rId38" Type="http://schemas.openxmlformats.org/officeDocument/2006/relationships/hyperlink" Target="https://www.govinfo.gov/content/pkg/CHRG-114hhrg97543/html/CHRG-114hhrg97543.htm"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thebalance.com/fiscal-year-definition-federal-budget-examples-3305794" TargetMode="External"/><Relationship Id="rId20" Type="http://schemas.openxmlformats.org/officeDocument/2006/relationships/hyperlink" Target="https://www.forbes.com/sites/drillinginfo/2016/02/22/debunking-myths-about-federal-oil-gas-subsidies/" TargetMode="External"/><Relationship Id="rId29" Type="http://schemas.openxmlformats.org/officeDocument/2006/relationships/hyperlink" Target="https://www.cfr.org/blog/no-tax-breaks-us-oil-and-gas-companies-probably-dont-materially-affect-climate-change" TargetMode="External"/><Relationship Id="rId41" Type="http://schemas.openxmlformats.org/officeDocument/2006/relationships/hyperlink" Target="https://www.brookings.edu/program/foreign-polic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fr.org/bio/varun-sivaram" TargetMode="External"/><Relationship Id="rId24" Type="http://schemas.openxmlformats.org/officeDocument/2006/relationships/hyperlink" Target="https://www.forbes.com/sites/drillinginfo/2016/02/22/debunking-myths-about-federal-oil-gas-subsidies/" TargetMode="External"/><Relationship Id="rId32" Type="http://schemas.openxmlformats.org/officeDocument/2006/relationships/hyperlink" Target="http://cdn.americanprogress.org/wp-content/uploads/issues/2009/08/pdf/energy_security.pdf" TargetMode="External"/><Relationship Id="rId37" Type="http://schemas.openxmlformats.org/officeDocument/2006/relationships/hyperlink" Target="http://www.dialogi.su/storage/b/2017/06/05/2017-05-Nicolson-Schernikau-Benefits-of-CO2-Coal-Asia-mail.pdf" TargetMode="External"/><Relationship Id="rId40" Type="http://schemas.openxmlformats.org/officeDocument/2006/relationships/hyperlink" Target="https://www.neweurope.eu/article/us-boosts-lng-supplies-to-the-eu-aiming-to-reduce-reliance-on-russia/"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hebalance.com/fiscal-year-definition-federal-budget-examples-3305794" TargetMode="External"/><Relationship Id="rId23" Type="http://schemas.openxmlformats.org/officeDocument/2006/relationships/hyperlink" Target="https://www.forbes.com/companies/bp/" TargetMode="External"/><Relationship Id="rId28" Type="http://schemas.openxmlformats.org/officeDocument/2006/relationships/hyperlink" Target="https://www.cfr.org/bio/varun-sivaram" TargetMode="External"/><Relationship Id="rId36" Type="http://schemas.openxmlformats.org/officeDocument/2006/relationships/hyperlink" Target="http://www.spectator.co.uk/features/9176251/let-them-eat-carbon-credits/" TargetMode="External"/><Relationship Id="rId10" Type="http://schemas.openxmlformats.org/officeDocument/2006/relationships/hyperlink" Target="https://www.forbes.com/companies/chevron/" TargetMode="External"/><Relationship Id="rId19" Type="http://schemas.openxmlformats.org/officeDocument/2006/relationships/hyperlink" Target="http://www.forbes.com/real-estate/" TargetMode="External"/><Relationship Id="rId31" Type="http://schemas.openxmlformats.org/officeDocument/2006/relationships/hyperlink" Target="https://www.americanprogress.org/about/staff/lefton-rebecca/bio/"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orbes.com/sites/drillinginfo/2016/02/22/debunking-myths-about-federal-oil-gas-subsidies/" TargetMode="External"/><Relationship Id="rId14" Type="http://schemas.openxmlformats.org/officeDocument/2006/relationships/hyperlink" Target="https://www.thebalance.com/donald-trump-economic-plan-3994106" TargetMode="External"/><Relationship Id="rId22" Type="http://schemas.openxmlformats.org/officeDocument/2006/relationships/hyperlink" Target="https://www.forbes.com/sites/drillinginfo/2016/02/22/debunking-myths-about-federal-oil-gas-subsidies/" TargetMode="External"/><Relationship Id="rId27" Type="http://schemas.openxmlformats.org/officeDocument/2006/relationships/hyperlink" Target="https://www.eia.gov/analysis/requests/subsidy/pdf/subsidy.pdf" TargetMode="External"/><Relationship Id="rId30" Type="http://schemas.openxmlformats.org/officeDocument/2006/relationships/hyperlink" Target="https://www.cfr.org/sites/default/files/pdf/2016/07/Discussion_Paper_Metcalf_Tax_Preferences_OR.pdf" TargetMode="External"/><Relationship Id="rId35" Type="http://schemas.openxmlformats.org/officeDocument/2006/relationships/hyperlink" Target="http://dailycaller.com/2014/06/02/epa-admits-climate-rule-will-raise-electricity-prices/" TargetMode="External"/><Relationship Id="rId43" Type="http://schemas.openxmlformats.org/officeDocument/2006/relationships/hyperlink" Target="https://www.brookings.edu/research/backing-into-world-war-ii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CE287-BEC8-4142-841B-18C11DBC0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6190</TotalTime>
  <Pages>11</Pages>
  <Words>4631</Words>
  <Characters>26397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30967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60</cp:revision>
  <cp:lastPrinted>2014-07-05T10:25:00Z</cp:lastPrinted>
  <dcterms:created xsi:type="dcterms:W3CDTF">2018-06-04T23:49:00Z</dcterms:created>
  <dcterms:modified xsi:type="dcterms:W3CDTF">2019-11-02T02:17:00Z</dcterms:modified>
</cp:coreProperties>
</file>